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eastAsia" w:eastAsia="宋体"/>
          <w:sz w:val="21"/>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hint="default" w:ascii="Arial" w:eastAsia="宋体"/>
          <w:sz w:val="21"/>
          <w:lang w:val="en-US" w:eastAsia="zh-CN"/>
        </w:rPr>
      </w:pPr>
      <w:r>
        <w:rPr>
          <w:rFonts w:hint="eastAsia" w:eastAsia="宋体"/>
          <w:sz w:val="21"/>
          <w:lang w:val="en-US" w:eastAsia="zh-CN"/>
        </w:rPr>
        <w:t>附件5：</w:t>
      </w: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textAlignment w:val="baseline"/>
        <w:outlineLvl w:val="0"/>
        <w:rPr>
          <w:rFonts w:hint="eastAsia" w:ascii="宋体" w:hAnsi="宋体" w:eastAsia="宋体" w:cs="宋体"/>
          <w:b/>
          <w:bCs/>
          <w:spacing w:val="-4"/>
          <w:sz w:val="35"/>
          <w:szCs w:val="35"/>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before="1" w:line="212" w:lineRule="auto"/>
        <w:ind w:left="3115" w:firstLine="1373" w:firstLineChars="400"/>
        <w:textAlignment w:val="baseline"/>
        <w:outlineLvl w:val="0"/>
        <w:rPr>
          <w:rFonts w:hint="eastAsia" w:ascii="宋体" w:hAnsi="宋体" w:eastAsia="宋体" w:cs="宋体"/>
          <w:sz w:val="35"/>
          <w:szCs w:val="35"/>
          <w:lang w:val="en-US" w:eastAsia="zh-CN"/>
        </w:rPr>
      </w:pPr>
      <w:r>
        <w:rPr>
          <w:rFonts w:hint="eastAsia" w:ascii="宋体" w:hAnsi="宋体" w:eastAsia="宋体" w:cs="宋体"/>
          <w:b/>
          <w:bCs/>
          <w:spacing w:val="-4"/>
          <w:sz w:val="35"/>
          <w:szCs w:val="35"/>
          <w:lang w:val="en-US" w:eastAsia="zh-CN"/>
        </w:rPr>
        <w:t>聂营镇</w:t>
      </w:r>
      <w:r>
        <w:rPr>
          <w:rFonts w:ascii="宋体" w:hAnsi="宋体" w:eastAsia="宋体" w:cs="宋体"/>
          <w:b/>
          <w:bCs/>
          <w:spacing w:val="-4"/>
          <w:sz w:val="35"/>
          <w:szCs w:val="35"/>
        </w:rPr>
        <w:t>“属地管理”事项责任清单</w:t>
      </w:r>
    </w:p>
    <w:p>
      <w:pPr>
        <w:keepNext w:val="0"/>
        <w:keepLines w:val="0"/>
        <w:pageBreakBefore w:val="0"/>
        <w:widowControl/>
        <w:kinsoku w:val="0"/>
        <w:wordWrap/>
        <w:overflowPunct w:val="0"/>
        <w:topLinePunct/>
        <w:autoSpaceDE w:val="0"/>
        <w:autoSpaceDN w:val="0"/>
        <w:bidi w:val="0"/>
        <w:adjustRightInd w:val="0"/>
        <w:snapToGrid w:val="0"/>
        <w:spacing w:line="50" w:lineRule="exact"/>
        <w:textAlignment w:val="baseline"/>
      </w:pPr>
    </w:p>
    <w:tbl>
      <w:tblPr>
        <w:tblStyle w:val="6"/>
        <w:tblW w:w="14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
        <w:gridCol w:w="1039"/>
        <w:gridCol w:w="1279"/>
        <w:gridCol w:w="3585"/>
        <w:gridCol w:w="3408"/>
        <w:gridCol w:w="2626"/>
        <w:gridCol w:w="725"/>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435" w:type="dxa"/>
            <w:textDirection w:val="tbRlV"/>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ind w:left="49"/>
              <w:jc w:val="center"/>
              <w:textAlignment w:val="baseline"/>
              <w:rPr>
                <w:color w:val="auto"/>
              </w:rPr>
            </w:pPr>
            <w:r>
              <w:rPr>
                <w:b/>
                <w:bCs/>
                <w:color w:val="auto"/>
                <w:spacing w:val="-3"/>
              </w:rPr>
              <w:t>序号</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3"/>
              </w:rPr>
              <w:t>类别</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20" w:lineRule="auto"/>
              <w:jc w:val="center"/>
              <w:textAlignment w:val="baseline"/>
              <w:rPr>
                <w:color w:val="auto"/>
              </w:rPr>
            </w:pPr>
            <w:r>
              <w:rPr>
                <w:b/>
                <w:bCs/>
                <w:color w:val="auto"/>
                <w:spacing w:val="-5"/>
              </w:rPr>
              <w:t>事项名称</w:t>
            </w:r>
          </w:p>
        </w:tc>
        <w:tc>
          <w:tcPr>
            <w:tcW w:w="358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b/>
                <w:bCs/>
                <w:color w:val="auto"/>
                <w:spacing w:val="-4"/>
              </w:rPr>
              <w:t>县级部门职责</w:t>
            </w:r>
          </w:p>
        </w:tc>
        <w:tc>
          <w:tcPr>
            <w:tcW w:w="34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81" w:line="219" w:lineRule="auto"/>
              <w:jc w:val="center"/>
              <w:textAlignment w:val="baseline"/>
              <w:rPr>
                <w:color w:val="auto"/>
              </w:rPr>
            </w:pPr>
            <w:r>
              <w:rPr>
                <w:rFonts w:hint="eastAsia"/>
                <w:b/>
                <w:bCs/>
                <w:color w:val="auto"/>
                <w:spacing w:val="-2"/>
                <w:lang w:eastAsia="zh-CN"/>
              </w:rPr>
              <w:t>乡镇（街道）</w:t>
            </w:r>
            <w:r>
              <w:rPr>
                <w:b/>
                <w:bCs/>
                <w:color w:val="auto"/>
                <w:spacing w:val="-2"/>
              </w:rPr>
              <w:t>职责</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9" w:line="219" w:lineRule="auto"/>
              <w:jc w:val="center"/>
              <w:textAlignment w:val="baseline"/>
              <w:rPr>
                <w:color w:val="auto"/>
              </w:rPr>
            </w:pPr>
            <w:r>
              <w:rPr>
                <w:b/>
                <w:bCs/>
                <w:color w:val="auto"/>
                <w:spacing w:val="-4"/>
              </w:rPr>
              <w:t>法律法规规章及文件依据</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 w:line="229" w:lineRule="auto"/>
              <w:ind w:left="92" w:right="84"/>
              <w:jc w:val="center"/>
              <w:textAlignment w:val="baseline"/>
              <w:rPr>
                <w:color w:val="auto"/>
              </w:rPr>
            </w:pPr>
            <w:r>
              <w:rPr>
                <w:b/>
                <w:bCs/>
                <w:color w:val="auto"/>
                <w:spacing w:val="-8"/>
              </w:rPr>
              <w:t>主体</w:t>
            </w:r>
            <w:r>
              <w:rPr>
                <w:b/>
                <w:bCs/>
                <w:color w:val="auto"/>
                <w:spacing w:val="-1"/>
              </w:rPr>
              <w:t>责任</w:t>
            </w:r>
          </w:p>
        </w:tc>
        <w:tc>
          <w:tcPr>
            <w:tcW w:w="98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5" w:line="220" w:lineRule="auto"/>
              <w:ind w:left="102" w:right="98"/>
              <w:jc w:val="center"/>
              <w:textAlignment w:val="baseline"/>
              <w:rPr>
                <w:color w:val="auto"/>
              </w:rPr>
            </w:pPr>
            <w:r>
              <w:rPr>
                <w:b/>
                <w:bCs/>
                <w:color w:val="auto"/>
                <w:spacing w:val="-7"/>
              </w:rPr>
              <w:t>配合</w:t>
            </w:r>
            <w:r>
              <w:rPr>
                <w:b/>
                <w:bCs/>
                <w:color w:val="auto"/>
                <w:spacing w:val="-1"/>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1"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color w:val="auto"/>
              </w:rPr>
            </w:pPr>
            <w:r>
              <w:rPr>
                <w:color w:val="auto"/>
              </w:rPr>
              <w:t>1</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both"/>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rPr>
            </w:pPr>
            <w:r>
              <w:rPr>
                <w:color w:val="auto"/>
                <w:spacing w:val="-2"/>
              </w:rPr>
              <w:t>环保设施运</w:t>
            </w:r>
            <w:r>
              <w:rPr>
                <w:color w:val="auto"/>
                <w:spacing w:val="1"/>
              </w:rPr>
              <w:t>行监督管理</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color w:val="auto"/>
              </w:rPr>
            </w:pPr>
            <w:r>
              <w:rPr>
                <w:rFonts w:hint="eastAsia" w:ascii="Arial" w:hAnsi="Arial" w:eastAsia="Arial" w:cs="Arial"/>
                <w:snapToGrid w:val="0"/>
                <w:color w:val="auto"/>
                <w:kern w:val="0"/>
                <w:sz w:val="21"/>
                <w:szCs w:val="21"/>
                <w:lang w:val="en-US" w:eastAsia="en-US" w:bidi="ar-SA"/>
              </w:rPr>
              <w:t>生态环境部门根据“双随机”抽查名单和群众投诉信访件对排污者或污染治理运营单位的污染防治环保设施运行情况进行监督检查，对故意不正常使用或擅自拆除、闲置的依法查处。行业主管部门在其职责范围内对环保设施进行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ascii="Arial"/>
                <w:color w:val="auto"/>
                <w:sz w:val="21"/>
              </w:rPr>
            </w:pPr>
            <w:r>
              <w:rPr>
                <w:rFonts w:hint="eastAsia" w:ascii="Arial"/>
                <w:color w:val="auto"/>
                <w:sz w:val="21"/>
              </w:rPr>
              <w:t>对辖区内各类生态环境保护设施开展日常巡查并做好记录，对发现的环保设施运行管理问题及时上报生态环境部门处理。</w:t>
            </w:r>
          </w:p>
          <w:p>
            <w:pPr>
              <w:pStyle w:val="7"/>
              <w:keepNext w:val="0"/>
              <w:keepLines w:val="0"/>
              <w:pageBreakBefore w:val="0"/>
              <w:widowControl/>
              <w:kinsoku/>
              <w:wordWrap/>
              <w:overflowPunct w:val="0"/>
              <w:topLinePunct w:val="0"/>
              <w:autoSpaceDE w:val="0"/>
              <w:autoSpaceDN w:val="0"/>
              <w:bidi w:val="0"/>
              <w:adjustRightInd w:val="0"/>
              <w:snapToGrid w:val="0"/>
              <w:spacing w:line="226" w:lineRule="auto"/>
              <w:ind w:left="65" w:right="121" w:firstLine="70"/>
              <w:jc w:val="center"/>
              <w:textAlignment w:val="baseline"/>
              <w:rPr>
                <w:color w:val="auto"/>
              </w:rPr>
            </w:pP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《山西省环境保护条例》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color w:val="auto"/>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6" w:lineRule="auto"/>
              <w:jc w:val="center"/>
              <w:textAlignment w:val="baseline"/>
              <w:rPr>
                <w:rFonts w:hint="eastAsia" w:eastAsia="宋体"/>
                <w:color w:val="auto"/>
                <w:lang w:eastAsia="zh-CN"/>
              </w:rPr>
            </w:pPr>
            <w:r>
              <w:rPr>
                <w:rFonts w:hint="eastAsia" w:eastAsia="宋体"/>
                <w:color w:val="auto"/>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ind w:left="144"/>
              <w:jc w:val="both"/>
              <w:textAlignment w:val="baseline"/>
              <w:rPr>
                <w:color w:val="auto"/>
              </w:rPr>
            </w:pPr>
            <w:r>
              <w:rPr>
                <w:color w:val="auto"/>
              </w:rPr>
              <w:t>2</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5" w:line="220" w:lineRule="auto"/>
              <w:ind w:left="51"/>
              <w:jc w:val="center"/>
              <w:textAlignment w:val="baseline"/>
              <w:rPr>
                <w:color w:val="auto"/>
              </w:rPr>
            </w:pPr>
            <w:r>
              <w:rPr>
                <w:color w:val="auto"/>
                <w:spacing w:val="2"/>
              </w:rPr>
              <w:t>河流流域及</w:t>
            </w:r>
          </w:p>
          <w:p>
            <w:pPr>
              <w:pStyle w:val="7"/>
              <w:keepNext w:val="0"/>
              <w:keepLines w:val="0"/>
              <w:pageBreakBefore w:val="0"/>
              <w:widowControl/>
              <w:kinsoku w:val="0"/>
              <w:wordWrap/>
              <w:overflowPunct w:val="0"/>
              <w:topLinePunct/>
              <w:autoSpaceDE w:val="0"/>
              <w:autoSpaceDN w:val="0"/>
              <w:bidi w:val="0"/>
              <w:adjustRightInd w:val="0"/>
              <w:snapToGrid w:val="0"/>
              <w:spacing w:before="5" w:line="219" w:lineRule="auto"/>
              <w:ind w:left="51"/>
              <w:jc w:val="center"/>
              <w:textAlignment w:val="baseline"/>
              <w:rPr>
                <w:color w:val="auto"/>
              </w:rPr>
            </w:pPr>
            <w:r>
              <w:rPr>
                <w:color w:val="auto"/>
                <w:spacing w:val="-2"/>
              </w:rPr>
              <w:t>相关涉水企</w:t>
            </w:r>
          </w:p>
          <w:p>
            <w:pPr>
              <w:pStyle w:val="7"/>
              <w:keepNext w:val="0"/>
              <w:keepLines w:val="0"/>
              <w:pageBreakBefore w:val="0"/>
              <w:widowControl/>
              <w:kinsoku w:val="0"/>
              <w:wordWrap/>
              <w:overflowPunct w:val="0"/>
              <w:topLinePunct/>
              <w:autoSpaceDE w:val="0"/>
              <w:autoSpaceDN w:val="0"/>
              <w:bidi w:val="0"/>
              <w:adjustRightInd w:val="0"/>
              <w:snapToGrid w:val="0"/>
              <w:spacing w:before="28" w:line="221" w:lineRule="auto"/>
              <w:ind w:left="51"/>
              <w:jc w:val="center"/>
              <w:textAlignment w:val="baseline"/>
              <w:rPr>
                <w:color w:val="auto"/>
              </w:rPr>
            </w:pPr>
            <w:r>
              <w:rPr>
                <w:color w:val="auto"/>
                <w:spacing w:val="-2"/>
              </w:rPr>
              <w:t>业、化工企</w:t>
            </w:r>
          </w:p>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ind w:left="51"/>
              <w:jc w:val="center"/>
              <w:textAlignment w:val="baseline"/>
              <w:rPr>
                <w:color w:val="auto"/>
              </w:rPr>
            </w:pPr>
            <w:r>
              <w:rPr>
                <w:color w:val="auto"/>
                <w:spacing w:val="3"/>
              </w:rPr>
              <w:t>业地下水的</w:t>
            </w:r>
          </w:p>
          <w:p>
            <w:pPr>
              <w:pStyle w:val="7"/>
              <w:keepNext w:val="0"/>
              <w:keepLines w:val="0"/>
              <w:pageBreakBefore w:val="0"/>
              <w:widowControl/>
              <w:kinsoku w:val="0"/>
              <w:wordWrap/>
              <w:overflowPunct w:val="0"/>
              <w:topLinePunct/>
              <w:autoSpaceDE w:val="0"/>
              <w:autoSpaceDN w:val="0"/>
              <w:bidi w:val="0"/>
              <w:adjustRightInd w:val="0"/>
              <w:snapToGrid w:val="0"/>
              <w:spacing w:before="7" w:line="217" w:lineRule="auto"/>
              <w:ind w:left="51"/>
              <w:jc w:val="center"/>
              <w:textAlignment w:val="baseline"/>
              <w:rPr>
                <w:color w:val="auto"/>
              </w:rPr>
            </w:pPr>
            <w:r>
              <w:rPr>
                <w:color w:val="auto"/>
                <w:spacing w:val="3"/>
              </w:rPr>
              <w:t>水质监测和</w:t>
            </w:r>
            <w:r>
              <w:rPr>
                <w:color w:val="auto"/>
                <w:spacing w:val="4"/>
              </w:rPr>
              <w:t>污染防治</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p>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lang w:val="en-US" w:eastAsia="en-US"/>
              </w:rPr>
              <w:t>统筹</w:t>
            </w:r>
            <w:r>
              <w:rPr>
                <w:rFonts w:hint="eastAsia" w:eastAsia="宋体"/>
                <w:color w:val="auto"/>
                <w:sz w:val="21"/>
                <w:lang w:val="en-US" w:eastAsia="zh-CN"/>
              </w:rPr>
              <w:t>乡镇（街道）</w:t>
            </w:r>
            <w:r>
              <w:rPr>
                <w:rFonts w:hint="eastAsia" w:ascii="Arial"/>
                <w:color w:val="auto"/>
                <w:sz w:val="21"/>
                <w:lang w:val="en-US" w:eastAsia="en-US"/>
              </w:rPr>
              <w:t>、村(社区)网格监管力量，开展日常巡查并做好记录；对巡查发现问题及时上报生态环境部门，并协助做好水质监测及污染防治相关工作。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《地下水管理条例》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市生</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态环</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境局</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color w:val="auto"/>
                <w:sz w:val="21"/>
              </w:rPr>
            </w:pPr>
            <w:r>
              <w:rPr>
                <w:rFonts w:hint="eastAsia" w:ascii="Arial"/>
                <w:color w:val="auto"/>
                <w:sz w:val="21"/>
              </w:rPr>
              <w:t>分局</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16"/>
                <w:szCs w:val="16"/>
                <w:lang w:eastAsia="zh-CN"/>
              </w:rPr>
            </w:pPr>
            <w:r>
              <w:rPr>
                <w:rFonts w:hint="eastAsia" w:eastAsia="宋体"/>
                <w:color w:val="auto"/>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color w:val="auto"/>
              </w:rPr>
            </w:pPr>
            <w:r>
              <w:rPr>
                <w:color w:val="auto"/>
              </w:rPr>
              <w:t>3</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rPr>
            </w:pPr>
            <w:r>
              <w:rPr>
                <w:color w:val="auto"/>
                <w:spacing w:val="2"/>
              </w:rPr>
              <w:t>生态环境</w:t>
            </w:r>
          </w:p>
        </w:tc>
        <w:tc>
          <w:tcPr>
            <w:tcW w:w="1279"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rPr>
                <w:rFonts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ind w:left="51"/>
              <w:jc w:val="center"/>
              <w:textAlignment w:val="baseline"/>
              <w:rPr>
                <w:color w:val="auto"/>
              </w:rPr>
            </w:pPr>
            <w:r>
              <w:rPr>
                <w:color w:val="auto"/>
                <w:spacing w:val="1"/>
              </w:rPr>
              <w:t>水源地、地</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1"/>
              <w:jc w:val="center"/>
              <w:textAlignment w:val="baseline"/>
              <w:rPr>
                <w:color w:val="auto"/>
              </w:rPr>
            </w:pPr>
            <w:r>
              <w:rPr>
                <w:color w:val="auto"/>
                <w:spacing w:val="-2"/>
              </w:rPr>
              <w:t>表水、自然</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51"/>
              <w:jc w:val="center"/>
              <w:textAlignment w:val="baseline"/>
              <w:rPr>
                <w:color w:val="auto"/>
              </w:rPr>
            </w:pPr>
            <w:r>
              <w:rPr>
                <w:color w:val="auto"/>
                <w:spacing w:val="2"/>
              </w:rPr>
              <w:t>保护地、生</w:t>
            </w:r>
          </w:p>
          <w:p>
            <w:pPr>
              <w:pStyle w:val="7"/>
              <w:keepNext w:val="0"/>
              <w:keepLines w:val="0"/>
              <w:pageBreakBefore w:val="0"/>
              <w:widowControl/>
              <w:kinsoku w:val="0"/>
              <w:wordWrap/>
              <w:overflowPunct w:val="0"/>
              <w:topLinePunct/>
              <w:autoSpaceDE w:val="0"/>
              <w:autoSpaceDN w:val="0"/>
              <w:bidi w:val="0"/>
              <w:adjustRightInd w:val="0"/>
              <w:snapToGrid w:val="0"/>
              <w:spacing w:before="25" w:line="216" w:lineRule="auto"/>
              <w:ind w:left="51"/>
              <w:jc w:val="center"/>
              <w:textAlignment w:val="baseline"/>
              <w:rPr>
                <w:color w:val="auto"/>
              </w:rPr>
            </w:pPr>
            <w:r>
              <w:rPr>
                <w:color w:val="auto"/>
                <w:spacing w:val="3"/>
              </w:rPr>
              <w:t>态保护红线</w:t>
            </w:r>
            <w:r>
              <w:rPr>
                <w:color w:val="auto"/>
                <w:spacing w:val="6"/>
              </w:rPr>
              <w:t>监管</w:t>
            </w:r>
          </w:p>
        </w:tc>
        <w:tc>
          <w:tcPr>
            <w:tcW w:w="358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141" w:line="238" w:lineRule="auto"/>
              <w:ind w:right="74" w:firstLine="420" w:firstLineChars="200"/>
              <w:jc w:val="both"/>
              <w:textAlignment w:val="baseline"/>
              <w:rPr>
                <w:rFonts w:hint="eastAsia" w:ascii="Arial" w:hAnsi="Arial" w:eastAsia="Arial" w:cs="Arial"/>
                <w:snapToGrid w:val="0"/>
                <w:color w:val="auto"/>
                <w:kern w:val="0"/>
                <w:sz w:val="21"/>
                <w:szCs w:val="21"/>
                <w:lang w:val="en-US" w:eastAsia="en-US" w:bidi="ar-SA"/>
              </w:rPr>
            </w:pPr>
            <w:r>
              <w:rPr>
                <w:rFonts w:hint="eastAsia" w:ascii="Arial" w:hAnsi="Arial" w:eastAsia="Arial" w:cs="Arial"/>
                <w:snapToGrid w:val="0"/>
                <w:color w:val="auto"/>
                <w:kern w:val="0"/>
                <w:sz w:val="21"/>
                <w:szCs w:val="21"/>
                <w:lang w:val="en-US" w:eastAsia="en-US" w:bidi="ar-SA"/>
              </w:rPr>
              <w:t>生态环境、自然资源、林业等部门按照职责分工负责应急水源地、地表水、自然保护地和生态保护红线生态环境保护监管工作。</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341" w:lineRule="auto"/>
              <w:ind w:left="0" w:leftChars="0" w:firstLine="420" w:firstLineChars="200"/>
              <w:jc w:val="both"/>
              <w:textAlignment w:val="baseline"/>
              <w:rPr>
                <w:rFonts w:hint="eastAsia" w:ascii="Arial"/>
                <w:color w:val="auto"/>
                <w:sz w:val="21"/>
              </w:rPr>
            </w:pPr>
            <w:r>
              <w:rPr>
                <w:rFonts w:hint="eastAsia" w:ascii="Arial"/>
                <w:color w:val="auto"/>
                <w:sz w:val="21"/>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62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《关于加强生态保护红线</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管理的通知(试行)》</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(自然资发〔2022〕142号)</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default"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84"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eastAsia="宋体"/>
                <w:color w:val="auto"/>
                <w:sz w:val="21"/>
                <w:lang w:eastAsia="zh-CN"/>
              </w:rPr>
            </w:pPr>
            <w:r>
              <w:rPr>
                <w:rFonts w:hint="eastAsia" w:eastAsia="宋体"/>
                <w:color w:val="auto"/>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95"/>
        <w:textAlignment w:val="baseline"/>
      </w:pPr>
    </w:p>
    <w:tbl>
      <w:tblPr>
        <w:tblStyle w:val="6"/>
        <w:tblW w:w="14235"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
        <w:gridCol w:w="1036"/>
        <w:gridCol w:w="1302"/>
        <w:gridCol w:w="3551"/>
        <w:gridCol w:w="3606"/>
        <w:gridCol w:w="2461"/>
        <w:gridCol w:w="891"/>
        <w:gridCol w:w="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6"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4</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河道管理和</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综合整治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由水利部门牵头负责河道管理和综</w:t>
            </w:r>
            <w:r>
              <w:rPr>
                <w:color w:val="000000" w:themeColor="text1"/>
                <w:spacing w:val="-14"/>
                <w:sz w:val="22"/>
                <w:szCs w:val="22"/>
                <w14:textFill>
                  <w14:solidFill>
                    <w14:schemeClr w14:val="tx1"/>
                  </w14:solidFill>
                </w14:textFill>
              </w:rPr>
              <w:t>合整治，并组织协调自然资源、交通</w:t>
            </w:r>
            <w:r>
              <w:rPr>
                <w:color w:val="000000" w:themeColor="text1"/>
                <w:spacing w:val="-13"/>
                <w:sz w:val="22"/>
                <w:szCs w:val="22"/>
                <w14:textFill>
                  <w14:solidFill>
                    <w14:schemeClr w14:val="tx1"/>
                  </w14:solidFill>
                </w14:textFill>
              </w:rPr>
              <w:t>运输、公安等部门按照职责分工负责河道管理和整治，根据河流等级和规定管理权限，对围河造田、占用河道滩地建房、种植树木和高杆作物、弃</w:t>
            </w:r>
            <w:r>
              <w:rPr>
                <w:color w:val="000000" w:themeColor="text1"/>
                <w:spacing w:val="-8"/>
                <w:sz w:val="22"/>
                <w:szCs w:val="22"/>
                <w14:textFill>
                  <w14:solidFill>
                    <w14:schemeClr w14:val="tx1"/>
                  </w14:solidFill>
                </w14:textFill>
              </w:rPr>
              <w:t>置矿石渣和建筑垃圾等违反《水法》</w:t>
            </w:r>
            <w:r>
              <w:rPr>
                <w:color w:val="000000" w:themeColor="text1"/>
                <w:spacing w:val="-14"/>
                <w:sz w:val="22"/>
                <w:szCs w:val="22"/>
                <w14:textFill>
                  <w14:solidFill>
                    <w14:schemeClr w14:val="tx1"/>
                  </w14:solidFill>
                </w14:textFill>
              </w:rPr>
              <w:t>《防洪法》等行为进行认定，视情形</w:t>
            </w:r>
            <w:r>
              <w:rPr>
                <w:color w:val="000000" w:themeColor="text1"/>
                <w:spacing w:val="-13"/>
                <w:sz w:val="22"/>
                <w:szCs w:val="22"/>
                <w14:textFill>
                  <w14:solidFill>
                    <w14:schemeClr w14:val="tx1"/>
                  </w14:solidFill>
                </w14:textFill>
              </w:rPr>
              <w:t>依法给予行政处罚；构成犯罪的，依</w:t>
            </w:r>
            <w:r>
              <w:rPr>
                <w:color w:val="000000" w:themeColor="text1"/>
                <w:spacing w:val="1"/>
                <w:sz w:val="22"/>
                <w:szCs w:val="22"/>
                <w14:textFill>
                  <w14:solidFill>
                    <w14:schemeClr w14:val="tx1"/>
                  </w14:solidFill>
                </w14:textFill>
              </w:rPr>
              <w:t>法追究刑事责任。</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rFonts w:ascii="宋体" w:hAnsi="宋体" w:eastAsia="宋体" w:cs="宋体"/>
                <w:snapToGrid w:val="0"/>
                <w:color w:val="000000" w:themeColor="text1"/>
                <w:spacing w:val="-6"/>
                <w:kern w:val="0"/>
                <w:sz w:val="22"/>
                <w:szCs w:val="22"/>
                <w:lang w:val="en-US" w:eastAsia="en-US" w:bidi="ar-SA"/>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对辖区河道开展日常巡查并做好记录；发现或收到侵占河道滩地建房等危害防洪安全的违法线索，进行初步核实并及时劝告制止，及时上报有关部门处理，配合做好执法相关秩序维护等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《防洪法》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《河道管理条例》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《城市建筑垃圾管理规定》</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default" w:eastAsia="宋体"/>
                <w:color w:val="000000" w:themeColor="text1"/>
                <w:sz w:val="22"/>
                <w:szCs w:val="22"/>
                <w:lang w:val="en-US" w:eastAsia="zh-CN"/>
                <w14:textFill>
                  <w14:solidFill>
                    <w14:schemeClr w14:val="tx1"/>
                  </w14:solidFill>
                </w14:textFill>
              </w:rPr>
            </w:pPr>
            <w:r>
              <w:rPr>
                <w:rFonts w:hint="eastAsia" w:ascii="Arial"/>
                <w:color w:val="auto"/>
                <w:sz w:val="21"/>
                <w:lang w:val="en-US" w:eastAsia="zh-CN"/>
              </w:rPr>
              <w:t>局等相关部门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5</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土壤污染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left="0" w:right="0" w:firstLine="416" w:firstLineChars="200"/>
              <w:jc w:val="both"/>
              <w:textAlignment w:val="baseline"/>
              <w:rPr>
                <w:rFonts w:hint="eastAsia" w:eastAsia="宋体"/>
                <w:color w:val="000000" w:themeColor="text1"/>
                <w:sz w:val="22"/>
                <w:szCs w:val="22"/>
                <w:lang w:eastAsia="zh-CN"/>
                <w14:textFill>
                  <w14:solidFill>
                    <w14:schemeClr w14:val="tx1"/>
                  </w14:solidFill>
                </w14:textFill>
              </w:rPr>
            </w:pPr>
            <w:r>
              <w:rPr>
                <w:color w:val="000000" w:themeColor="text1"/>
                <w:spacing w:val="-6"/>
                <w:sz w:val="22"/>
                <w:szCs w:val="22"/>
                <w14:textFill>
                  <w14:solidFill>
                    <w14:schemeClr w14:val="tx1"/>
                  </w14:solidFill>
                </w14:textFill>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r>
              <w:rPr>
                <w:rFonts w:hint="eastAsia"/>
                <w:color w:val="000000" w:themeColor="text1"/>
                <w:spacing w:val="-6"/>
                <w:sz w:val="22"/>
                <w:szCs w:val="22"/>
                <w:lang w:eastAsia="zh-CN"/>
                <w14:textFill>
                  <w14:solidFill>
                    <w14:schemeClr w14:val="tx1"/>
                  </w14:solidFill>
                </w14:textFill>
              </w:rPr>
              <w:t>。</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统筹</w:t>
            </w:r>
            <w:r>
              <w:rPr>
                <w:rFonts w:hint="eastAsia"/>
                <w:color w:val="000000" w:themeColor="text1"/>
                <w:spacing w:val="-6"/>
                <w:sz w:val="22"/>
                <w:szCs w:val="22"/>
                <w:lang w:val="en-US" w:eastAsia="zh-CN"/>
                <w14:textFill>
                  <w14:solidFill>
                    <w14:schemeClr w14:val="tx1"/>
                  </w14:solidFill>
                </w14:textFill>
              </w:rPr>
              <w:t>乡镇（街道）</w:t>
            </w:r>
            <w:r>
              <w:rPr>
                <w:color w:val="000000" w:themeColor="text1"/>
                <w:spacing w:val="-6"/>
                <w:sz w:val="22"/>
                <w:szCs w:val="22"/>
                <w:lang w:val="en-US" w:eastAsia="en-US"/>
                <w14:textFill>
                  <w14:solidFill>
                    <w14:schemeClr w14:val="tx1"/>
                  </w14:solidFill>
                </w14:textFill>
              </w:rPr>
              <w:t>、村(社区)网格监管力量，配合部门对辖区内重点区域、重点领域、重点行业实施监督管理，对发现的违法违规行为及时上报有关部门，配合做好执法相关工作。</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《土壤污染防治法</w:t>
            </w:r>
            <w:r>
              <w:rPr>
                <w:rFonts w:hint="eastAsia"/>
                <w:color w:val="auto"/>
                <w:spacing w:val="-3"/>
                <w:lang w:eastAsia="zh-CN"/>
              </w:rPr>
              <w:t>》</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80"/>
              </w:rPr>
              <w:t>《山西省土壤污染防治条例》</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eastAsia="宋体"/>
                <w:color w:val="000000" w:themeColor="text1"/>
                <w:sz w:val="22"/>
                <w:szCs w:val="22"/>
                <w:lang w:val="en-US" w:eastAsia="zh-CN"/>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2" w:hRule="atLeast"/>
        </w:trPr>
        <w:tc>
          <w:tcPr>
            <w:tcW w:w="41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6</w:t>
            </w:r>
          </w:p>
        </w:tc>
        <w:tc>
          <w:tcPr>
            <w:tcW w:w="10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color w:val="000000" w:themeColor="text1"/>
                <w:sz w:val="22"/>
                <w:szCs w:val="22"/>
                <w14:textFill>
                  <w14:solidFill>
                    <w14:schemeClr w14:val="tx1"/>
                  </w14:solidFill>
                </w14:textFill>
              </w:rPr>
            </w:pPr>
            <w:r>
              <w:rPr>
                <w:color w:val="000000" w:themeColor="text1"/>
                <w:spacing w:val="-2"/>
                <w:sz w:val="22"/>
                <w:szCs w:val="22"/>
                <w14:textFill>
                  <w14:solidFill>
                    <w14:schemeClr w14:val="tx1"/>
                  </w14:solidFill>
                </w14:textFill>
              </w:rPr>
              <w:t>生态环境</w:t>
            </w:r>
          </w:p>
        </w:tc>
        <w:tc>
          <w:tcPr>
            <w:tcW w:w="130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59"/>
              <w:jc w:val="center"/>
              <w:textAlignment w:val="baseline"/>
              <w:rPr>
                <w:color w:val="auto"/>
                <w:spacing w:val="-2"/>
              </w:rPr>
            </w:pPr>
            <w:r>
              <w:rPr>
                <w:color w:val="auto"/>
                <w:spacing w:val="-2"/>
              </w:rPr>
              <w:t>清理企业违法违规产能</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z w:val="22"/>
                <w:szCs w:val="22"/>
                <w14:textFill>
                  <w14:solidFill>
                    <w14:schemeClr w14:val="tx1"/>
                  </w14:solidFill>
                </w14:textFill>
              </w:rPr>
            </w:pPr>
            <w:r>
              <w:rPr>
                <w:color w:val="000000" w:themeColor="text1"/>
                <w:spacing w:val="-6"/>
                <w:sz w:val="22"/>
                <w:szCs w:val="22"/>
                <w14:textFill>
                  <w14:solidFill>
                    <w14:schemeClr w14:val="tx1"/>
                  </w14:solidFill>
                </w14:textFill>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6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2" w:line="219" w:lineRule="auto"/>
              <w:ind w:firstLine="416" w:firstLineChars="200"/>
              <w:jc w:val="both"/>
              <w:textAlignment w:val="baseline"/>
              <w:rPr>
                <w:color w:val="000000" w:themeColor="text1"/>
                <w:spacing w:val="-6"/>
                <w:sz w:val="22"/>
                <w:szCs w:val="22"/>
                <w:lang w:val="en-US" w:eastAsia="en-US"/>
                <w14:textFill>
                  <w14:solidFill>
                    <w14:schemeClr w14:val="tx1"/>
                  </w14:solidFill>
                </w14:textFill>
              </w:rPr>
            </w:pPr>
            <w:r>
              <w:rPr>
                <w:color w:val="000000" w:themeColor="text1"/>
                <w:spacing w:val="-6"/>
                <w:sz w:val="22"/>
                <w:szCs w:val="22"/>
                <w:lang w:val="en-US" w:eastAsia="en-US"/>
                <w14:textFill>
                  <w14:solidFill>
                    <w14:schemeClr w14:val="tx1"/>
                  </w14:solidFill>
                </w14:textFill>
              </w:rPr>
              <w:t>对辖区内企业落实已淘汰、化解落后过剩产能情况开展日常巡查并做好记录；对被依法关停企业定期实地检查，发现企业复产迹象及时制止，及时上报相关部门处理。</w:t>
            </w:r>
          </w:p>
        </w:tc>
        <w:tc>
          <w:tcPr>
            <w:tcW w:w="24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tc>
        <w:tc>
          <w:tcPr>
            <w:tcW w:w="891"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right="76"/>
              <w:jc w:val="center"/>
              <w:textAlignment w:val="baseline"/>
              <w:rPr>
                <w:color w:val="000000" w:themeColor="text1"/>
                <w:sz w:val="22"/>
                <w:szCs w:val="22"/>
                <w14:textFill>
                  <w14:solidFill>
                    <w14:schemeClr w14:val="tx1"/>
                  </w14:solidFill>
                </w14:textFill>
              </w:rPr>
            </w:pPr>
            <w:r>
              <w:rPr>
                <w:rFonts w:hint="eastAsia" w:ascii="Arial"/>
                <w:color w:val="auto"/>
                <w:sz w:val="21"/>
              </w:rPr>
              <w:t>市生态环境局代县分局</w:t>
            </w:r>
            <w:r>
              <w:rPr>
                <w:rFonts w:hint="eastAsia" w:eastAsia="宋体"/>
                <w:color w:val="auto"/>
                <w:sz w:val="21"/>
                <w:lang w:val="en-US" w:eastAsia="zh-CN"/>
              </w:rPr>
              <w:t>等相关部门</w:t>
            </w:r>
          </w:p>
        </w:tc>
        <w:tc>
          <w:tcPr>
            <w:tcW w:w="96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right="96"/>
              <w:jc w:val="center"/>
              <w:textAlignment w:val="baseline"/>
              <w:rPr>
                <w:rFonts w:hint="eastAsia" w:eastAsia="宋体"/>
                <w:color w:val="000000" w:themeColor="text1"/>
                <w:sz w:val="22"/>
                <w:szCs w:val="22"/>
                <w:lang w:eastAsia="zh-CN"/>
                <w14:textFill>
                  <w14:solidFill>
                    <w14:schemeClr w14:val="tx1"/>
                  </w14:solidFill>
                </w14:textFill>
              </w:rPr>
            </w:pPr>
            <w:r>
              <w:rPr>
                <w:rFonts w:hint="eastAsia"/>
                <w:color w:val="000000" w:themeColor="text1"/>
                <w:spacing w:val="4"/>
                <w:sz w:val="18"/>
                <w:szCs w:val="18"/>
                <w:lang w:eastAsia="zh-CN"/>
                <w14:textFill>
                  <w14:solidFill>
                    <w14:schemeClr w14:val="tx1"/>
                  </w14:solidFill>
                </w14:textFill>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217"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1059"/>
        <w:gridCol w:w="1257"/>
        <w:gridCol w:w="3551"/>
        <w:gridCol w:w="3596"/>
        <w:gridCol w:w="2493"/>
        <w:gridCol w:w="838"/>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6"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pPr>
            <w:r>
              <w:t>7</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jc w:val="center"/>
              <w:textAlignment w:val="baseline"/>
            </w:pPr>
            <w:r>
              <w:rPr>
                <w:spacing w:val="-2"/>
              </w:rPr>
              <w:t>“散乱污”</w:t>
            </w:r>
            <w:r>
              <w:rPr>
                <w:spacing w:val="-18"/>
                <w:w w:val="96"/>
              </w:rPr>
              <w:t>企业综合整</w:t>
            </w:r>
            <w:r>
              <w:t>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负责对辖区内“散乱污”企业进行全面排查，建立工作台账，对发现的违法违规行为及时上报有关部门，配合做好执法相关工作。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color w:val="auto"/>
                <w:spacing w:val="-3"/>
              </w:rPr>
              <w:t>《环境影响评价法》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《节约能源法》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《饮用水水源保护区污染</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rPr>
              <w:t>防治管理规定》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color w:val="auto"/>
                <w:spacing w:val="-3"/>
              </w:rPr>
            </w:pPr>
            <w:r>
              <w:rPr>
                <w:color w:val="auto"/>
                <w:spacing w:val="-3"/>
                <w:w w:val="90"/>
              </w:rPr>
              <w:t>《无证无照经营查处办法》</w:t>
            </w:r>
          </w:p>
        </w:tc>
        <w:tc>
          <w:tcPr>
            <w:tcW w:w="83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hint="eastAsia" w:ascii="Arial"/>
                <w:color w:val="auto"/>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eastAsia="宋体"/>
                <w:color w:val="auto"/>
                <w:spacing w:val="-3"/>
                <w:lang w:eastAsia="zh-CN"/>
              </w:rPr>
            </w:pPr>
            <w:r>
              <w:rPr>
                <w:rFonts w:hint="eastAsia"/>
                <w:color w:val="auto"/>
                <w:spacing w:val="-3"/>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t>8</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48"/>
              <w:jc w:val="center"/>
              <w:textAlignment w:val="baseline"/>
            </w:pPr>
            <w:r>
              <w:rPr>
                <w:spacing w:val="-2"/>
              </w:rPr>
              <w:t>挥发性有机</w:t>
            </w:r>
            <w:r>
              <w:rPr>
                <w:spacing w:val="3"/>
              </w:rPr>
              <w:t>物、重金属等污染防治</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生态环境、交通运输、农业农村等部门按照职责分工牵头开展摸底调查，持续推进挥发性有机物治理；制定源头消减、过程控制、末端治理全过程防控计划与方案并组织实施。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2" w:hRule="atLeast"/>
        </w:trPr>
        <w:tc>
          <w:tcPr>
            <w:tcW w:w="46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t>9</w:t>
            </w:r>
          </w:p>
        </w:tc>
        <w:tc>
          <w:tcPr>
            <w:tcW w:w="10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生态环境</w:t>
            </w:r>
          </w:p>
        </w:tc>
        <w:tc>
          <w:tcPr>
            <w:tcW w:w="12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危废、固废</w:t>
            </w:r>
            <w:r>
              <w:rPr>
                <w:spacing w:val="3"/>
              </w:rPr>
              <w:t>源头管理和</w:t>
            </w:r>
          </w:p>
          <w:p>
            <w:pPr>
              <w:pStyle w:val="7"/>
              <w:keepNext w:val="0"/>
              <w:keepLines w:val="0"/>
              <w:pageBreakBefore w:val="0"/>
              <w:widowControl/>
              <w:kinsoku w:val="0"/>
              <w:wordWrap/>
              <w:overflowPunct w:val="0"/>
              <w:topLinePunct/>
              <w:autoSpaceDE w:val="0"/>
              <w:autoSpaceDN w:val="0"/>
              <w:bidi w:val="0"/>
              <w:adjustRightInd w:val="0"/>
              <w:snapToGrid w:val="0"/>
              <w:spacing w:before="10" w:line="221" w:lineRule="auto"/>
              <w:jc w:val="center"/>
              <w:textAlignment w:val="baseline"/>
            </w:pPr>
            <w:r>
              <w:rPr>
                <w:spacing w:val="4"/>
              </w:rPr>
              <w:t>排查整治</w:t>
            </w:r>
            <w:r>
              <w:t>(包含医疗</w:t>
            </w:r>
            <w:r>
              <w:rPr>
                <w:spacing w:val="15"/>
              </w:rPr>
              <w:t>废物)</w:t>
            </w:r>
          </w:p>
        </w:tc>
        <w:tc>
          <w:tcPr>
            <w:tcW w:w="355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严控产生危废项目建设；建立完善工业企业危废收集体系、管理能力建设，强化危废规范化管理，制定管理计划；组织开展危废固废大排查，研究制定排查整治实施方案，明确排查范围、标准，整治工作计划、技术路线、经费保障等，并组织实施</w:t>
            </w:r>
          </w:p>
        </w:tc>
        <w:tc>
          <w:tcPr>
            <w:tcW w:w="359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9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《固体废物污染环境防治法》</w:t>
            </w:r>
          </w:p>
        </w:tc>
        <w:tc>
          <w:tcPr>
            <w:tcW w:w="8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5" w:lineRule="auto"/>
              <w:ind w:right="64"/>
              <w:jc w:val="center"/>
              <w:textAlignment w:val="baseline"/>
              <w:rPr>
                <w:rFonts w:hint="eastAsia" w:ascii="Arial" w:eastAsia="宋体"/>
                <w:color w:val="auto"/>
                <w:sz w:val="21"/>
                <w:lang w:val="en-US" w:eastAsia="zh-CN"/>
              </w:rPr>
            </w:pPr>
            <w:r>
              <w:rPr>
                <w:rFonts w:hint="eastAsia" w:ascii="Arial"/>
                <w:color w:val="auto"/>
                <w:sz w:val="21"/>
              </w:rPr>
              <w:t>市生态环境局代县分局</w:t>
            </w:r>
            <w:r>
              <w:rPr>
                <w:rFonts w:hint="eastAsia" w:eastAsia="宋体"/>
                <w:color w:val="auto"/>
                <w:sz w:val="21"/>
                <w:lang w:val="en-US" w:eastAsia="zh-CN"/>
              </w:rPr>
              <w:t>等相关部门</w:t>
            </w:r>
          </w:p>
        </w:tc>
        <w:tc>
          <w:tcPr>
            <w:tcW w:w="9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5"/>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83"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57"/>
        <w:gridCol w:w="1261"/>
        <w:gridCol w:w="3546"/>
        <w:gridCol w:w="3614"/>
        <w:gridCol w:w="2505"/>
        <w:gridCol w:w="87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184" w:lineRule="auto"/>
              <w:jc w:val="center"/>
              <w:textAlignment w:val="baseline"/>
            </w:pPr>
            <w:r>
              <w:rPr>
                <w:color w:val="00117C"/>
                <w:spacing w:val="-7"/>
              </w:rPr>
              <w:t>10</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19" w:lineRule="auto"/>
              <w:jc w:val="center"/>
              <w:textAlignment w:val="baseline"/>
            </w:pPr>
            <w:r>
              <w:rPr>
                <w:spacing w:val="-2"/>
              </w:rPr>
              <w:t>道路移动污</w:t>
            </w:r>
          </w:p>
          <w:p>
            <w:pPr>
              <w:pStyle w:val="7"/>
              <w:keepNext w:val="0"/>
              <w:keepLines w:val="0"/>
              <w:pageBreakBefore w:val="0"/>
              <w:widowControl/>
              <w:kinsoku/>
              <w:wordWrap/>
              <w:overflowPunct w:val="0"/>
              <w:topLinePunct/>
              <w:autoSpaceDE w:val="0"/>
              <w:autoSpaceDN w:val="0"/>
              <w:bidi w:val="0"/>
              <w:adjustRightInd w:val="0"/>
              <w:snapToGrid w:val="0"/>
              <w:spacing w:before="39" w:line="220" w:lineRule="auto"/>
              <w:ind w:left="80"/>
              <w:jc w:val="center"/>
              <w:textAlignment w:val="baseline"/>
            </w:pPr>
            <w:r>
              <w:rPr>
                <w:spacing w:val="2"/>
              </w:rPr>
              <w:t>染源、非道</w:t>
            </w:r>
          </w:p>
          <w:p>
            <w:pPr>
              <w:pStyle w:val="7"/>
              <w:keepNext w:val="0"/>
              <w:keepLines w:val="0"/>
              <w:pageBreakBefore w:val="0"/>
              <w:widowControl/>
              <w:kinsoku/>
              <w:wordWrap/>
              <w:overflowPunct w:val="0"/>
              <w:topLinePunct/>
              <w:autoSpaceDE w:val="0"/>
              <w:autoSpaceDN w:val="0"/>
              <w:bidi w:val="0"/>
              <w:adjustRightInd w:val="0"/>
              <w:snapToGrid w:val="0"/>
              <w:spacing w:before="35" w:line="219" w:lineRule="auto"/>
              <w:ind w:left="80"/>
              <w:jc w:val="center"/>
              <w:textAlignment w:val="baseline"/>
            </w:pPr>
            <w:r>
              <w:rPr>
                <w:spacing w:val="-2"/>
              </w:rPr>
              <w:t>路移动机械</w:t>
            </w:r>
          </w:p>
          <w:p>
            <w:pPr>
              <w:pStyle w:val="7"/>
              <w:keepNext w:val="0"/>
              <w:keepLines w:val="0"/>
              <w:pageBreakBefore w:val="0"/>
              <w:widowControl/>
              <w:kinsoku/>
              <w:wordWrap/>
              <w:overflowPunct w:val="0"/>
              <w:topLinePunct/>
              <w:autoSpaceDE w:val="0"/>
              <w:autoSpaceDN w:val="0"/>
              <w:bidi w:val="0"/>
              <w:adjustRightInd w:val="0"/>
              <w:snapToGrid w:val="0"/>
              <w:spacing w:before="11" w:line="220" w:lineRule="auto"/>
              <w:ind w:left="80"/>
              <w:jc w:val="center"/>
              <w:textAlignment w:val="baseline"/>
            </w:pPr>
            <w:r>
              <w:rPr>
                <w:spacing w:val="-2"/>
              </w:rPr>
              <w:t>监测和防控</w:t>
            </w:r>
          </w:p>
          <w:p>
            <w:pPr>
              <w:pStyle w:val="7"/>
              <w:keepNext w:val="0"/>
              <w:keepLines w:val="0"/>
              <w:pageBreakBefore w:val="0"/>
              <w:widowControl/>
              <w:kinsoku/>
              <w:wordWrap/>
              <w:overflowPunct w:val="0"/>
              <w:topLinePunct/>
              <w:autoSpaceDE w:val="0"/>
              <w:autoSpaceDN w:val="0"/>
              <w:bidi w:val="0"/>
              <w:adjustRightInd w:val="0"/>
              <w:snapToGrid w:val="0"/>
              <w:spacing w:before="43" w:line="224" w:lineRule="auto"/>
              <w:jc w:val="center"/>
              <w:textAlignment w:val="baseline"/>
            </w:pPr>
            <w:r>
              <w:rPr>
                <w:spacing w:val="3"/>
              </w:rPr>
              <w:t>治理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对辖区内道路移动污染源、非道路移动污染源开展日常巡查并做好记录；对发现违法违规问题线索及时上报有关部门，配合做好治理相关工作。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w w:val="80"/>
                <w:kern w:val="0"/>
                <w:sz w:val="23"/>
                <w:szCs w:val="23"/>
                <w:lang w:val="en-US" w:eastAsia="en-US" w:bidi="ar-SA"/>
              </w:rPr>
              <w:t>《山西省大气污染防治条例》</w:t>
            </w:r>
          </w:p>
        </w:tc>
        <w:tc>
          <w:tcPr>
            <w:tcW w:w="878" w:type="dxa"/>
            <w:vAlign w:val="top"/>
          </w:tcPr>
          <w:p>
            <w:pPr>
              <w:pStyle w:val="7"/>
              <w:keepNext w:val="0"/>
              <w:keepLines w:val="0"/>
              <w:pageBreakBefore w:val="0"/>
              <w:widowControl/>
              <w:kinsoku/>
              <w:wordWrap/>
              <w:overflowPunct w:val="0"/>
              <w:topLinePunct/>
              <w:autoSpaceDE w:val="0"/>
              <w:autoSpaceDN w:val="0"/>
              <w:bidi w:val="0"/>
              <w:adjustRightInd w:val="0"/>
              <w:snapToGrid w:val="0"/>
              <w:spacing w:before="72" w:line="239" w:lineRule="auto"/>
              <w:ind w:left="108" w:right="75"/>
              <w:textAlignment w:val="baseline"/>
              <w:rPr>
                <w:rFonts w:hint="eastAsia" w:ascii="宋体" w:hAnsi="宋体" w:eastAsia="宋体" w:cs="宋体"/>
                <w:snapToGrid w:val="0"/>
                <w:color w:val="auto"/>
                <w:spacing w:val="-3"/>
                <w:kern w:val="0"/>
                <w:sz w:val="23"/>
                <w:szCs w:val="23"/>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11</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41" w:lineRule="auto"/>
              <w:ind w:right="69"/>
              <w:jc w:val="center"/>
              <w:textAlignment w:val="baseline"/>
            </w:pPr>
            <w:r>
              <w:rPr>
                <w:spacing w:val="3"/>
              </w:rPr>
              <w:t>扬尘综合治</w:t>
            </w:r>
            <w:r>
              <w:t>理</w:t>
            </w:r>
          </w:p>
        </w:tc>
        <w:tc>
          <w:tcPr>
            <w:tcW w:w="354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61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格监管力量，对辖区内扬尘源头情况开展日常巡查并做好记录，配合部门监督建筑工地、道路运输、村居拆迁、矿山开采等相关单位落实扬尘防治措施，发现违法违规行为及时上报有关部门，协助做好扬尘治理整改落实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《环境保护法》</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《公路安全保护条例》</w:t>
            </w:r>
          </w:p>
        </w:tc>
        <w:tc>
          <w:tcPr>
            <w:tcW w:w="878" w:type="dxa"/>
            <w:vAlign w:val="top"/>
          </w:tcPr>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p>
          <w:p>
            <w:pPr>
              <w:keepNext w:val="0"/>
              <w:keepLines w:val="0"/>
              <w:pageBreakBefore w:val="0"/>
              <w:widowControl/>
              <w:kinsoku/>
              <w:wordWrap/>
              <w:overflowPunct w:val="0"/>
              <w:topLinePunct/>
              <w:autoSpaceDE w:val="0"/>
              <w:autoSpaceDN w:val="0"/>
              <w:bidi w:val="0"/>
              <w:adjustRightInd w:val="0"/>
              <w:snapToGrid w:val="0"/>
              <w:spacing w:line="316" w:lineRule="auto"/>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市生态环境局代县分局</w:t>
            </w:r>
            <w:r>
              <w:rPr>
                <w:rFonts w:hint="eastAsia" w:eastAsia="宋体"/>
                <w:color w:val="auto"/>
                <w:sz w:val="21"/>
                <w:lang w:val="en-US" w:eastAsia="zh-CN"/>
              </w:rPr>
              <w:t>等相关部门</w:t>
            </w:r>
          </w:p>
          <w:p>
            <w:pPr>
              <w:pStyle w:val="7"/>
              <w:keepNext w:val="0"/>
              <w:keepLines w:val="0"/>
              <w:pageBreakBefore w:val="0"/>
              <w:widowControl/>
              <w:kinsoku/>
              <w:wordWrap/>
              <w:overflowPunct w:val="0"/>
              <w:topLinePunct/>
              <w:autoSpaceDE w:val="0"/>
              <w:autoSpaceDN w:val="0"/>
              <w:bidi w:val="0"/>
              <w:adjustRightInd w:val="0"/>
              <w:snapToGrid w:val="0"/>
              <w:spacing w:before="72" w:line="230" w:lineRule="auto"/>
              <w:ind w:right="75"/>
              <w:textAlignment w:val="baseline"/>
              <w:rPr>
                <w:rFonts w:ascii="宋体" w:hAnsi="宋体" w:eastAsia="宋体" w:cs="宋体"/>
                <w:snapToGrid w:val="0"/>
                <w:color w:val="auto"/>
                <w:spacing w:val="-3"/>
                <w:kern w:val="0"/>
                <w:sz w:val="23"/>
                <w:szCs w:val="23"/>
                <w:lang w:val="en-US" w:eastAsia="en-US" w:bidi="ar-SA"/>
              </w:rPr>
            </w:pP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31" w:lineRule="auto"/>
              <w:ind w:left="110" w:right="96"/>
              <w:jc w:val="center"/>
              <w:textAlignment w:val="baseline"/>
              <w:rPr>
                <w:rFonts w:hint="eastAsia" w:ascii="宋体" w:hAnsi="宋体" w:eastAsia="宋体" w:cs="宋体"/>
                <w:snapToGrid w:val="0"/>
                <w:color w:val="auto"/>
                <w:spacing w:val="-3"/>
                <w:kern w:val="0"/>
                <w:sz w:val="18"/>
                <w:szCs w:val="18"/>
                <w:lang w:val="en-US" w:eastAsia="zh-CN" w:bidi="ar-SA"/>
              </w:rPr>
            </w:pPr>
            <w:r>
              <w:rPr>
                <w:rFonts w:hint="eastAsia" w:cs="宋体"/>
                <w:snapToGrid w:val="0"/>
                <w:color w:val="auto"/>
                <w:spacing w:val="-3"/>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trPr>
        <w:tc>
          <w:tcPr>
            <w:tcW w:w="46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184" w:lineRule="auto"/>
              <w:jc w:val="center"/>
              <w:textAlignment w:val="baseline"/>
            </w:pPr>
            <w:r>
              <w:rPr>
                <w:spacing w:val="-7"/>
              </w:rPr>
              <w:t>12</w:t>
            </w:r>
          </w:p>
        </w:tc>
        <w:tc>
          <w:tcPr>
            <w:tcW w:w="105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6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1" w:line="219" w:lineRule="auto"/>
              <w:jc w:val="center"/>
              <w:textAlignment w:val="baseline"/>
            </w:pPr>
            <w:r>
              <w:rPr>
                <w:spacing w:val="-2"/>
              </w:rPr>
              <w:t>对散煤销售</w:t>
            </w:r>
          </w:p>
          <w:p>
            <w:pPr>
              <w:pStyle w:val="7"/>
              <w:keepNext w:val="0"/>
              <w:keepLines w:val="0"/>
              <w:pageBreakBefore w:val="0"/>
              <w:widowControl/>
              <w:kinsoku/>
              <w:wordWrap/>
              <w:overflowPunct w:val="0"/>
              <w:topLinePunct/>
              <w:autoSpaceDE w:val="0"/>
              <w:autoSpaceDN w:val="0"/>
              <w:bidi w:val="0"/>
              <w:adjustRightInd w:val="0"/>
              <w:snapToGrid w:val="0"/>
              <w:spacing w:before="29" w:line="219" w:lineRule="auto"/>
              <w:jc w:val="center"/>
              <w:textAlignment w:val="baseline"/>
            </w:pPr>
            <w:r>
              <w:rPr>
                <w:spacing w:val="2"/>
              </w:rPr>
              <w:t>行为的监管</w:t>
            </w:r>
            <w:r>
              <w:rPr>
                <w:spacing w:val="-3"/>
              </w:rPr>
              <w:t>执法</w:t>
            </w:r>
          </w:p>
        </w:tc>
        <w:tc>
          <w:tcPr>
            <w:tcW w:w="354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61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、村(社区)网格监管力量，对辖区散煤销售行为开展日常巡查并做好记录。发现问题线索及时上报有关部门，配合做好执法相关工作。</w:t>
            </w:r>
          </w:p>
        </w:tc>
        <w:tc>
          <w:tcPr>
            <w:tcW w:w="2505"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ascii="宋体" w:hAnsi="宋体" w:eastAsia="宋体" w:cs="宋体"/>
                <w:snapToGrid w:val="0"/>
                <w:color w:val="auto"/>
                <w:spacing w:val="-3"/>
                <w:kern w:val="0"/>
                <w:sz w:val="23"/>
                <w:szCs w:val="23"/>
                <w:lang w:val="en-US" w:eastAsia="en-US" w:bidi="ar-SA"/>
              </w:rPr>
            </w:pPr>
            <w:r>
              <w:rPr>
                <w:rFonts w:ascii="宋体" w:hAnsi="宋体" w:eastAsia="宋体" w:cs="宋体"/>
                <w:snapToGrid w:val="0"/>
                <w:color w:val="auto"/>
                <w:spacing w:val="-3"/>
                <w:kern w:val="0"/>
                <w:sz w:val="23"/>
                <w:szCs w:val="23"/>
                <w:lang w:val="en-US" w:eastAsia="en-US" w:bidi="ar-SA"/>
              </w:rPr>
              <w:t>《大气污染防治法》</w:t>
            </w:r>
          </w:p>
        </w:tc>
        <w:tc>
          <w:tcPr>
            <w:tcW w:w="87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keepNext w:val="0"/>
              <w:keepLines w:val="0"/>
              <w:pageBreakBefore w:val="0"/>
              <w:widowControl/>
              <w:kinsoku/>
              <w:wordWrap/>
              <w:overflowPunct w:val="0"/>
              <w:topLinePunct/>
              <w:autoSpaceDE w:val="0"/>
              <w:autoSpaceDN w:val="0"/>
              <w:bidi w:val="0"/>
              <w:adjustRightInd w:val="0"/>
              <w:snapToGrid w:val="0"/>
              <w:spacing w:line="316" w:lineRule="auto"/>
              <w:jc w:val="center"/>
              <w:textAlignment w:val="baseline"/>
              <w:rPr>
                <w:rFonts w:ascii="宋体" w:hAnsi="宋体" w:eastAsia="宋体" w:cs="宋体"/>
                <w:snapToGrid w:val="0"/>
                <w:color w:val="auto"/>
                <w:spacing w:val="-3"/>
                <w:kern w:val="0"/>
                <w:sz w:val="23"/>
                <w:szCs w:val="23"/>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962"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2" w:line="231" w:lineRule="auto"/>
              <w:ind w:left="110" w:right="96"/>
              <w:jc w:val="center"/>
              <w:textAlignment w:val="baseline"/>
              <w:rPr>
                <w:rFonts w:hint="eastAsia" w:ascii="宋体" w:hAnsi="宋体" w:eastAsia="宋体" w:cs="宋体"/>
                <w:snapToGrid w:val="0"/>
                <w:color w:val="auto"/>
                <w:spacing w:val="-3"/>
                <w:kern w:val="0"/>
                <w:sz w:val="23"/>
                <w:szCs w:val="23"/>
                <w:lang w:val="en-US" w:eastAsia="zh-CN" w:bidi="ar-SA"/>
              </w:rPr>
            </w:pPr>
            <w:r>
              <w:rPr>
                <w:rFonts w:hint="eastAsia" w:cs="宋体"/>
                <w:snapToGrid w:val="0"/>
                <w:color w:val="auto"/>
                <w:spacing w:val="-3"/>
                <w:kern w:val="0"/>
                <w:sz w:val="18"/>
                <w:szCs w:val="18"/>
                <w:lang w:val="en-US" w:eastAsia="zh-CN" w:bidi="ar-SA"/>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38"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
        <w:gridCol w:w="1074"/>
        <w:gridCol w:w="1244"/>
        <w:gridCol w:w="3324"/>
        <w:gridCol w:w="3375"/>
        <w:gridCol w:w="2830"/>
        <w:gridCol w:w="1028"/>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露天烧烤及</w:t>
            </w:r>
          </w:p>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油烟扰民的监管执法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市场监管、城市管理、生态环境等部门负责对露天烧烤和餐饮油烟进行监管，对经营业户油烟是否超标进行检测认定，根据投诉举报对露天烧烤和油烟扰民进行现场核实，依法查处。</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对辖区露天烧烤、餐饮油烟开展日常巡查并做好记录，对发现或者接到投诉举报露天烧烤和油烟扰民问题，进行初步核实，及时劝告制止，上报有关部门，配合做好执法相关秩序维护等工作。</w:t>
            </w:r>
          </w:p>
        </w:tc>
        <w:tc>
          <w:tcPr>
            <w:tcW w:w="2830" w:type="dxa"/>
            <w:vAlign w:val="top"/>
          </w:tcPr>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347"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ind w:left="447"/>
              <w:textAlignment w:val="baseline"/>
              <w:rPr>
                <w:sz w:val="22"/>
                <w:szCs w:val="22"/>
              </w:rPr>
            </w:pPr>
            <w:r>
              <w:rPr>
                <w:spacing w:val="-2"/>
                <w:sz w:val="22"/>
                <w:szCs w:val="22"/>
              </w:rPr>
              <w:t>《大气污染防治法》</w:t>
            </w:r>
          </w:p>
        </w:tc>
        <w:tc>
          <w:tcPr>
            <w:tcW w:w="102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4" w:lineRule="auto"/>
              <w:ind w:left="100" w:right="75"/>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1" w:lineRule="auto"/>
              <w:ind w:left="109" w:right="95"/>
              <w:jc w:val="center"/>
              <w:textAlignment w:val="baseline"/>
              <w:rPr>
                <w:rFonts w:hint="eastAsia" w:eastAsia="宋体"/>
                <w:sz w:val="22"/>
                <w:szCs w:val="22"/>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9"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14</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对秸秆焚烧的监管执法</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生态环境、农业农村、自然资源、林业、公安等部门按照职责分工对焚烧秸秆行为进行监督检查指导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对露天焚烧秸秆等产生烟尘污染物质的行为进行处罚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焚烧秸秆等违法违规行为开展日常巡查并做好记录，发现人为焚烧秸杆等违法违规行为及时制止，根据赋权事项要求做好执法和案件查处相关工作，协助县级以上人民政府确定的监督管理部门做好本辖区的环境保护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pacing w:val="-3"/>
                <w:sz w:val="22"/>
                <w:szCs w:val="22"/>
              </w:rPr>
            </w:pPr>
            <w:r>
              <w:rPr>
                <w:spacing w:val="-3"/>
                <w:sz w:val="22"/>
                <w:szCs w:val="2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0" w:right="0"/>
              <w:jc w:val="center"/>
              <w:textAlignment w:val="baseline"/>
              <w:rPr>
                <w:sz w:val="22"/>
                <w:szCs w:val="22"/>
              </w:rPr>
            </w:pPr>
            <w:r>
              <w:rPr>
                <w:spacing w:val="-2"/>
                <w:sz w:val="22"/>
                <w:szCs w:val="22"/>
              </w:rPr>
              <w:t>《治安管理处罚法》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right="0"/>
              <w:jc w:val="center"/>
              <w:textAlignment w:val="baseline"/>
              <w:rPr>
                <w:w w:val="90"/>
                <w:sz w:val="22"/>
                <w:szCs w:val="22"/>
              </w:rPr>
            </w:pPr>
            <w:r>
              <w:rPr>
                <w:spacing w:val="-2"/>
                <w:w w:val="90"/>
                <w:sz w:val="22"/>
                <w:szCs w:val="22"/>
              </w:rPr>
              <w:t>《山西省大气污染防治条例》</w:t>
            </w:r>
          </w:p>
          <w:p>
            <w:pPr>
              <w:pStyle w:val="7"/>
              <w:keepNext w:val="0"/>
              <w:keepLines w:val="0"/>
              <w:pageBreakBefore w:val="0"/>
              <w:widowControl/>
              <w:kinsoku w:val="0"/>
              <w:wordWrap/>
              <w:overflowPunct w:val="0"/>
              <w:topLinePunct/>
              <w:autoSpaceDE w:val="0"/>
              <w:autoSpaceDN w:val="0"/>
              <w:bidi w:val="0"/>
              <w:adjustRightInd w:val="0"/>
              <w:snapToGrid w:val="0"/>
              <w:spacing w:line="209" w:lineRule="auto"/>
              <w:ind w:left="0" w:right="0"/>
              <w:jc w:val="center"/>
              <w:textAlignment w:val="baseline"/>
              <w:rPr>
                <w:w w:val="90"/>
                <w:sz w:val="22"/>
                <w:szCs w:val="22"/>
              </w:rPr>
            </w:pPr>
            <w:r>
              <w:rPr>
                <w:w w:val="90"/>
                <w:sz w:val="22"/>
                <w:szCs w:val="22"/>
              </w:rPr>
              <w:t>《山西省人民政府关于向乡</w:t>
            </w:r>
            <w:r>
              <w:rPr>
                <w:spacing w:val="1"/>
                <w:w w:val="90"/>
                <w:sz w:val="22"/>
                <w:szCs w:val="22"/>
              </w:rPr>
              <w:t>镇人民政府和办事处下</w:t>
            </w:r>
            <w:r>
              <w:rPr>
                <w:spacing w:val="-4"/>
                <w:w w:val="90"/>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13" w:lineRule="auto"/>
              <w:ind w:left="0" w:right="0"/>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1" w:lineRule="auto"/>
              <w:ind w:left="100" w:right="91"/>
              <w:jc w:val="center"/>
              <w:textAlignment w:val="baseline"/>
              <w:rPr>
                <w:rFonts w:hint="eastAsia" w:eastAsia="宋体"/>
                <w:sz w:val="22"/>
                <w:szCs w:val="22"/>
                <w:lang w:eastAsia="zh-CN"/>
              </w:rPr>
            </w:pPr>
            <w:r>
              <w:rPr>
                <w:rFonts w:hint="eastAsia"/>
                <w:spacing w:val="4"/>
                <w:sz w:val="18"/>
                <w:szCs w:val="18"/>
                <w:lang w:eastAsia="zh-CN"/>
              </w:rPr>
              <w:t>聂营镇</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9"/>
              <w:jc w:val="center"/>
              <w:textAlignment w:val="baseline"/>
              <w:rPr>
                <w:sz w:val="18"/>
                <w:szCs w:val="18"/>
              </w:rPr>
            </w:pPr>
            <w:r>
              <w:rPr>
                <w:rFonts w:hint="eastAsia" w:ascii="Arial"/>
                <w:color w:val="auto"/>
                <w:sz w:val="21"/>
              </w:rPr>
              <w:t>分局</w:t>
            </w:r>
            <w:r>
              <w:rPr>
                <w:rFonts w:hint="eastAsia" w:eastAsia="宋体"/>
                <w:color w:val="auto"/>
                <w:sz w:val="21"/>
                <w:lang w:val="en-US" w:eastAsia="zh-CN"/>
              </w:rPr>
              <w:t>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4" w:hRule="atLeast"/>
        </w:trPr>
        <w:tc>
          <w:tcPr>
            <w:tcW w:w="4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15</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生态环境</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spacing w:val="-7"/>
              </w:rPr>
            </w:pPr>
            <w:r>
              <w:rPr>
                <w:spacing w:val="-7"/>
              </w:rPr>
              <w:t>畜禽养殖污染整治</w:t>
            </w:r>
          </w:p>
        </w:tc>
        <w:tc>
          <w:tcPr>
            <w:tcW w:w="33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生态环境、农业农村部门按职责分工负责畜禽养殖污染防治的统一监督管理，指导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对畜禽养殖废弃物未进行综合利用和无害化处理，以及从事畜禽规模养殖未及时收集、贮存、利用或者处置养殖过程中产生的畜禽粪污等固体废物的行为进行处罚。</w:t>
            </w:r>
          </w:p>
        </w:tc>
        <w:tc>
          <w:tcPr>
            <w:tcW w:w="337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指导辖区养殖场配套建设粪污处理设施并资源化利用，结合常规工作日常巡查，对辖区内畜禽养殖污染排放情况进行全面排查，发现养殖场畜禽粪污直排或偷排等违法违规行为及时劝告制止，根据赋权事项要求做好执法和案件查处相关工作，配合做好执法相关秩序维护等工作。</w:t>
            </w:r>
          </w:p>
        </w:tc>
        <w:tc>
          <w:tcPr>
            <w:tcW w:w="28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37" w:line="201" w:lineRule="auto"/>
              <w:jc w:val="center"/>
              <w:textAlignment w:val="baseline"/>
              <w:rPr>
                <w:sz w:val="22"/>
                <w:szCs w:val="22"/>
              </w:rPr>
            </w:pPr>
            <w:r>
              <w:rPr>
                <w:spacing w:val="-3"/>
                <w:sz w:val="22"/>
                <w:szCs w:val="22"/>
              </w:rPr>
              <w:t>《环境保护法》</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jc w:val="center"/>
              <w:textAlignment w:val="baseline"/>
              <w:rPr>
                <w:sz w:val="22"/>
                <w:szCs w:val="22"/>
              </w:rPr>
            </w:pPr>
            <w:r>
              <w:rPr>
                <w:spacing w:val="-2"/>
                <w:sz w:val="22"/>
                <w:szCs w:val="22"/>
              </w:rPr>
              <w:t>《土壤污染防治法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10"/>
                <w:sz w:val="21"/>
                <w:szCs w:val="21"/>
              </w:rPr>
            </w:pPr>
            <w:r>
              <w:rPr>
                <w:spacing w:val="-10"/>
                <w:sz w:val="21"/>
                <w:szCs w:val="21"/>
              </w:rPr>
              <w:t>《山西省土壤污染防治条例》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17"/>
                <w:sz w:val="21"/>
                <w:szCs w:val="21"/>
              </w:rPr>
              <w:t>《畜禽规模养殖污染防治条例》</w:t>
            </w:r>
            <w:r>
              <w:rPr>
                <w:spacing w:val="-9"/>
                <w:sz w:val="18"/>
                <w:szCs w:val="18"/>
              </w:rPr>
              <w:t>《国务院办公厅关于加快推进</w:t>
            </w:r>
            <w:r>
              <w:rPr>
                <w:spacing w:val="-8"/>
                <w:sz w:val="18"/>
                <w:szCs w:val="18"/>
              </w:rPr>
              <w:t>畜禽养殖废弃物资源化利用的</w:t>
            </w:r>
            <w:r>
              <w:rPr>
                <w:spacing w:val="-4"/>
                <w:sz w:val="18"/>
                <w:szCs w:val="18"/>
              </w:rPr>
              <w:t>意见》</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pacing w:val="-4"/>
                <w:sz w:val="22"/>
                <w:szCs w:val="22"/>
              </w:rPr>
              <w:t>(国办发〔2017〕48号)</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pacing w:val="-4"/>
                <w:sz w:val="22"/>
                <w:szCs w:val="22"/>
              </w:rPr>
            </w:pPr>
            <w:r>
              <w:rPr>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2" w:lineRule="auto"/>
              <w:ind w:left="16" w:hanging="9"/>
              <w:jc w:val="center"/>
              <w:textAlignment w:val="baseline"/>
              <w:rPr>
                <w:sz w:val="22"/>
                <w:szCs w:val="22"/>
              </w:rPr>
            </w:pPr>
            <w:r>
              <w:rPr>
                <w:spacing w:val="3"/>
                <w:sz w:val="22"/>
                <w:szCs w:val="22"/>
              </w:rPr>
              <w:t>(晋政发〔2022〕22号)</w:t>
            </w:r>
          </w:p>
        </w:tc>
        <w:tc>
          <w:tcPr>
            <w:tcW w:w="10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100" w:right="75"/>
              <w:jc w:val="center"/>
              <w:textAlignment w:val="baseline"/>
              <w:rPr>
                <w:sz w:val="22"/>
                <w:szCs w:val="22"/>
              </w:rPr>
            </w:pPr>
            <w:r>
              <w:rPr>
                <w:rFonts w:hint="eastAsia" w:ascii="Arial"/>
                <w:color w:val="auto"/>
                <w:sz w:val="21"/>
              </w:rPr>
              <w:t>分局</w:t>
            </w:r>
            <w:r>
              <w:rPr>
                <w:rFonts w:hint="eastAsia" w:eastAsia="宋体"/>
                <w:color w:val="auto"/>
                <w:sz w:val="21"/>
                <w:lang w:val="en-US" w:eastAsia="zh-CN"/>
              </w:rPr>
              <w:t>等相关部门</w:t>
            </w:r>
          </w:p>
        </w:tc>
        <w:tc>
          <w:tcPr>
            <w:tcW w:w="110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95"/>
              <w:jc w:val="center"/>
              <w:textAlignment w:val="baseline"/>
              <w:rPr>
                <w:rFonts w:hint="eastAsia" w:eastAsia="宋体"/>
                <w:sz w:val="22"/>
                <w:szCs w:val="22"/>
                <w:lang w:eastAsia="zh-CN"/>
              </w:rPr>
            </w:pPr>
            <w:r>
              <w:rPr>
                <w:rFonts w:hint="eastAsia"/>
                <w:sz w:val="22"/>
                <w:szCs w:val="22"/>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5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091"/>
        <w:gridCol w:w="1278"/>
        <w:gridCol w:w="3358"/>
        <w:gridCol w:w="3341"/>
        <w:gridCol w:w="3189"/>
        <w:gridCol w:w="67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16</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重污染天气</w:t>
            </w:r>
          </w:p>
          <w:p>
            <w:pPr>
              <w:pStyle w:val="7"/>
              <w:keepNext w:val="0"/>
              <w:keepLines w:val="0"/>
              <w:pageBreakBefore w:val="0"/>
              <w:widowControl/>
              <w:kinsoku w:val="0"/>
              <w:wordWrap/>
              <w:overflowPunct w:val="0"/>
              <w:topLinePunct/>
              <w:autoSpaceDE w:val="0"/>
              <w:autoSpaceDN w:val="0"/>
              <w:bidi w:val="0"/>
              <w:adjustRightInd w:val="0"/>
              <w:snapToGrid w:val="0"/>
              <w:spacing w:before="38" w:line="221" w:lineRule="auto"/>
              <w:jc w:val="center"/>
              <w:textAlignment w:val="baseline"/>
            </w:pPr>
            <w:r>
              <w:rPr>
                <w:spacing w:val="-2"/>
              </w:rPr>
              <w:t>应急应对</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生态环境部门负责组织编制重污染天气应急预案，建立重污染天气应急减排清单，组织指导辖区工业企业编制重污染天气应急操作方案并审核把关。工信、住房和城乡建设、交通运输、公安等部门加强技术人员业务培训并按照职责分工做好重污染天气应对工作。</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根据应急预案要求，及时传达重污染天气预警信息，结合常规工作日常巡查，对预警期间辖区内工业企业等单位落实重污染天气应急响应措施情况进行全面排查，建立工作台账，发现问题及时劝告制止，及时上报相关部门处理。</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rPr>
                <w:rFonts w:hint="eastAsia" w:eastAsia="宋体"/>
                <w:lang w:val="en-US" w:eastAsia="zh-CN"/>
              </w:rPr>
            </w:pPr>
            <w:r>
              <w:rPr>
                <w:spacing w:val="-3"/>
              </w:rPr>
              <w:t>《环境保护法</w:t>
            </w:r>
            <w:r>
              <w:rPr>
                <w:spacing w:val="-2"/>
              </w:rPr>
              <w:t>》</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《大气污染防治法》</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2"/>
              </w:rPr>
            </w:pPr>
            <w:r>
              <w:rPr>
                <w:spacing w:val="-2"/>
              </w:rPr>
              <w:t>《山西省环境保护条例》</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rPr>
                <w:spacing w:val="-1"/>
              </w:rPr>
            </w:pPr>
            <w:r>
              <w:rPr>
                <w:spacing w:val="-1"/>
              </w:rPr>
              <w:t>《山西省人民政府办公厅</w:t>
            </w:r>
            <w:r>
              <w:rPr>
                <w:spacing w:val="6"/>
              </w:rPr>
              <w:t>关于印发山西省重污染天</w:t>
            </w:r>
            <w:r>
              <w:rPr>
                <w:spacing w:val="-1"/>
              </w:rPr>
              <w:t>气应急预案的通知》</w:t>
            </w:r>
          </w:p>
          <w:p>
            <w:pPr>
              <w:pStyle w:val="7"/>
              <w:keepNext w:val="0"/>
              <w:keepLines w:val="0"/>
              <w:pageBreakBefore w:val="0"/>
              <w:widowControl/>
              <w:kinsoku w:val="0"/>
              <w:wordWrap/>
              <w:overflowPunct w:val="0"/>
              <w:topLinePunct/>
              <w:autoSpaceDE w:val="0"/>
              <w:autoSpaceDN w:val="0"/>
              <w:bidi w:val="0"/>
              <w:adjustRightInd w:val="0"/>
              <w:snapToGrid w:val="0"/>
              <w:spacing w:line="242" w:lineRule="auto"/>
              <w:ind w:right="0"/>
              <w:jc w:val="center"/>
              <w:textAlignment w:val="baseline"/>
            </w:pPr>
            <w:r>
              <w:rPr>
                <w:spacing w:val="-1"/>
              </w:rPr>
              <w:t>(晋政</w:t>
            </w:r>
            <w:r>
              <w:rPr>
                <w:spacing w:val="1"/>
              </w:rPr>
              <w:t>办发〔2023〕6</w:t>
            </w:r>
            <w:r>
              <w:rPr>
                <w:color w:val="2F8000"/>
                <w:spacing w:val="1"/>
              </w:rPr>
              <w:t>1号</w:t>
            </w:r>
          </w:p>
        </w:tc>
        <w:tc>
          <w:tcPr>
            <w:tcW w:w="675" w:type="dxa"/>
            <w:vAlign w:val="top"/>
          </w:tcPr>
          <w:p>
            <w:pPr>
              <w:keepNext w:val="0"/>
              <w:keepLines w:val="0"/>
              <w:pageBreakBefore w:val="0"/>
              <w:widowControl/>
              <w:kinsoku w:val="0"/>
              <w:wordWrap/>
              <w:overflowPunct w:val="0"/>
              <w:topLinePunct/>
              <w:autoSpaceDE w:val="0"/>
              <w:autoSpaceDN w:val="0"/>
              <w:bidi w:val="0"/>
              <w:adjustRightInd w:val="0"/>
              <w:snapToGrid w:val="0"/>
              <w:spacing w:line="268" w:lineRule="auto"/>
              <w:textAlignment w:val="baseline"/>
              <w:rPr>
                <w:rFonts w:ascii="宋体" w:hAnsi="宋体" w:eastAsia="宋体" w:cs="宋体"/>
                <w:snapToGrid w:val="0"/>
                <w:color w:val="000000"/>
                <w:spacing w:val="4"/>
                <w:kern w:val="0"/>
                <w:sz w:val="22"/>
                <w:szCs w:val="22"/>
                <w:lang w:val="en-US" w:eastAsia="en-US" w:bidi="ar-SA"/>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Arial"/>
                <w:color w:val="auto"/>
                <w:sz w:val="21"/>
              </w:rPr>
              <w:t>市生态环境局代县分局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6" w:lineRule="auto"/>
              <w:ind w:right="96"/>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cs="宋体"/>
                <w:snapToGrid w:val="0"/>
                <w:color w:val="000000"/>
                <w:spacing w:val="4"/>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17</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生态环境</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03" w:line="218" w:lineRule="auto"/>
              <w:ind w:right="83"/>
              <w:jc w:val="center"/>
              <w:textAlignment w:val="baseline"/>
            </w:pPr>
            <w:r>
              <w:rPr>
                <w:spacing w:val="-2"/>
              </w:rPr>
              <w:t>对工业、建</w:t>
            </w:r>
            <w:r>
              <w:rPr>
                <w:spacing w:val="-3"/>
              </w:rPr>
              <w:t>筑施工、交</w:t>
            </w:r>
            <w:r>
              <w:rPr>
                <w:spacing w:val="-2"/>
              </w:rPr>
              <w:t>通运输、社</w:t>
            </w:r>
            <w:r>
              <w:rPr>
                <w:spacing w:val="2"/>
              </w:rPr>
              <w:t>会生活噪声</w:t>
            </w:r>
            <w:r>
              <w:rPr>
                <w:spacing w:val="3"/>
              </w:rPr>
              <w:t>扰民行为的</w:t>
            </w:r>
            <w:r>
              <w:rPr>
                <w:spacing w:val="-2"/>
              </w:rPr>
              <w:t>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住房和城乡建设、交通运输、铁路监管、生态环境、城市管理、公安等部门按照职责分工，开展噪声污染防治工作，对属于噪声污染扰民的违法违规行为，区分情况依法予以查处。</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对辖区内噪音污染情况进行全面排查，发现或收到群众举报噪音扰民问题及时劝告制止；经劝告制止无效的上报有关部门，并配合做好执法相关工作。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right="0"/>
              <w:jc w:val="center"/>
              <w:textAlignment w:val="baseline"/>
            </w:pPr>
            <w:r>
              <w:rPr>
                <w:spacing w:val="-2"/>
              </w:rPr>
              <w:t>《噪声污染防治法》</w:t>
            </w:r>
          </w:p>
        </w:tc>
        <w:tc>
          <w:tcPr>
            <w:tcW w:w="675"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市生</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态环</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境局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rPr>
                <w:rFonts w:hint="eastAsia" w:ascii="Arial"/>
                <w:color w:val="auto"/>
                <w:sz w:val="21"/>
              </w:rPr>
            </w:pPr>
            <w:r>
              <w:rPr>
                <w:rFonts w:hint="eastAsia" w:ascii="Arial"/>
                <w:color w:val="auto"/>
                <w:sz w:val="21"/>
              </w:rPr>
              <w:t>代县</w:t>
            </w:r>
          </w:p>
          <w:p>
            <w:pPr>
              <w:pStyle w:val="7"/>
              <w:keepNext w:val="0"/>
              <w:keepLines w:val="0"/>
              <w:pageBreakBefore w:val="0"/>
              <w:widowControl/>
              <w:kinsoku w:val="0"/>
              <w:wordWrap/>
              <w:overflowPunct w:val="0"/>
              <w:topLinePunct/>
              <w:autoSpaceDE w:val="0"/>
              <w:autoSpaceDN w:val="0"/>
              <w:bidi w:val="0"/>
              <w:adjustRightInd w:val="0"/>
              <w:snapToGrid w:val="0"/>
              <w:spacing w:before="71" w:line="230" w:lineRule="auto"/>
              <w:ind w:left="98" w:right="75"/>
              <w:textAlignment w:val="baseline"/>
              <w:rPr>
                <w:rFonts w:ascii="宋体" w:hAnsi="宋体" w:eastAsia="宋体" w:cs="宋体"/>
                <w:snapToGrid w:val="0"/>
                <w:color w:val="000000"/>
                <w:spacing w:val="4"/>
                <w:kern w:val="0"/>
                <w:sz w:val="22"/>
                <w:szCs w:val="22"/>
                <w:lang w:val="en-US" w:eastAsia="en-US" w:bidi="ar-SA"/>
              </w:rPr>
            </w:pPr>
            <w:r>
              <w:rPr>
                <w:rFonts w:hint="eastAsia" w:ascii="Arial"/>
                <w:color w:val="auto"/>
                <w:sz w:val="21"/>
              </w:rPr>
              <w:t>分局</w:t>
            </w:r>
            <w:r>
              <w:rPr>
                <w:rFonts w:hint="eastAsia" w:eastAsia="宋体"/>
                <w:color w:val="auto"/>
                <w:sz w:val="21"/>
                <w:lang w:val="en-US" w:eastAsia="zh-CN"/>
              </w:rPr>
              <w:t>等相关部门</w:t>
            </w:r>
          </w:p>
        </w:tc>
        <w:tc>
          <w:tcPr>
            <w:tcW w:w="10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7" w:lineRule="auto"/>
              <w:ind w:right="96"/>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cs="宋体"/>
                <w:snapToGrid w:val="0"/>
                <w:color w:val="000000"/>
                <w:spacing w:val="4"/>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0"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pPr>
            <w:r>
              <w:rPr>
                <w:spacing w:val="-7"/>
              </w:rPr>
              <w:t>18</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jc w:val="center"/>
              <w:textAlignment w:val="baseline"/>
            </w:pPr>
            <w:r>
              <w:rPr>
                <w:rFonts w:hint="eastAsia"/>
              </w:rPr>
              <w:t>对</w:t>
            </w:r>
            <w:r>
              <w:rPr>
                <w:rFonts w:hint="eastAsia"/>
                <w:spacing w:val="-2"/>
              </w:rPr>
              <w:t>食品生产经营企业、食品小作坊、小餐饮、食品摊点</w:t>
            </w:r>
            <w:r>
              <w:rPr>
                <w:rFonts w:hint="eastAsia"/>
              </w:rPr>
              <w:t>安全监管执法</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3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负责协助市场监管部门做好食品安全监督管理工作；负责开展日常巡查，发现食品安全隐患或食品生产经营违法违规行为，及时上报市场监管部门，并协助做好执法相关秩序维护等工作。</w:t>
            </w:r>
          </w:p>
        </w:tc>
        <w:tc>
          <w:tcPr>
            <w:tcW w:w="31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1"/>
              </w:rPr>
              <w:t>《食品生产经营监督检查</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pPr>
            <w: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pPr>
            <w:r>
              <w:rPr>
                <w:spacing w:val="-2"/>
              </w:rP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t>办法》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pPr>
            <w:r>
              <w:rPr>
                <w:spacing w:val="-2"/>
              </w:rPr>
              <w:t>《山西省食品小作坊小经</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pPr>
            <w:r>
              <w:t>营店小摊点管理条例》</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10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8"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7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
        <w:gridCol w:w="1091"/>
        <w:gridCol w:w="1278"/>
        <w:gridCol w:w="3392"/>
        <w:gridCol w:w="3358"/>
        <w:gridCol w:w="3120"/>
        <w:gridCol w:w="781"/>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5"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7"/>
              </w:rPr>
              <w:t>19</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2" w:lineRule="auto"/>
              <w:ind w:right="44"/>
              <w:jc w:val="center"/>
              <w:textAlignment w:val="baseline"/>
            </w:pPr>
            <w:r>
              <w:rPr>
                <w:rFonts w:hint="eastAsia"/>
              </w:rPr>
              <w:t>重点区域食品安全隐患排查处置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负责开展日常巡查，发现辖区内学校、幼儿园以及集体用餐配送单位食品安全疑似问题和隐患线索，及时上报市场监管部门处理，配合做好执法相关秩序维护等工作。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pPr>
            <w:r>
              <w:rPr>
                <w:spacing w:val="-2"/>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t>《食品安全抽样检验管理</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1"/>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t>《学校食品安全与营养健</w:t>
            </w:r>
            <w:r>
              <w:rPr>
                <w:spacing w:val="-3"/>
              </w:rPr>
              <w:t>康管理规定》</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7"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20</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9" w:lineRule="auto"/>
              <w:jc w:val="center"/>
              <w:textAlignment w:val="baseline"/>
            </w:pPr>
            <w:r>
              <w:rPr>
                <w:rFonts w:hint="eastAsia" w:ascii="Arial"/>
                <w:sz w:val="21"/>
              </w:rPr>
              <w:t>药品、医疗器械、化妆品的经营和使用环节监管执法</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开展日常巡查，发现相关领域疑似问题及时上报市场监管部门，并配合做好情况核实、抽检、执法等相关工作。配合市场监管所开展药品、医疗器械、化妆品领域专项执法的摸底排查、问题上报等工作。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7" w:lineRule="auto"/>
              <w:jc w:val="center"/>
              <w:textAlignment w:val="baseline"/>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《药品管理法实施条例》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pPr>
            <w:r>
              <w:rPr>
                <w:spacing w:val="-2"/>
              </w:rPr>
              <w:t>《化妆品监督管理条例》</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52"/>
              <w:jc w:val="center"/>
              <w:textAlignment w:val="baseline"/>
            </w:pPr>
            <w:r>
              <w:rPr>
                <w:spacing w:val="-2"/>
                <w:sz w:val="22"/>
                <w:szCs w:val="22"/>
              </w:rPr>
              <w:t>《医疗器械监督管理条例》</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县市场监督管理局等</w:t>
            </w:r>
            <w:r>
              <w:rPr>
                <w:rFonts w:hint="eastAsia" w:eastAsia="宋体"/>
                <w:color w:val="auto"/>
                <w:sz w:val="21"/>
                <w:lang w:val="en-US" w:eastAsia="zh-CN"/>
              </w:rPr>
              <w:t>相关部门</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52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pPr>
            <w:r>
              <w:rPr>
                <w:spacing w:val="-3"/>
              </w:rPr>
              <w:t>21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78" w:type="dxa"/>
            <w:vAlign w:val="center"/>
          </w:tcPr>
          <w:p>
            <w:pPr>
              <w:keepNext w:val="0"/>
              <w:keepLines w:val="0"/>
              <w:pageBreakBefore w:val="0"/>
              <w:widowControl/>
              <w:kinsoku w:val="0"/>
              <w:wordWrap/>
              <w:overflowPunct w:val="0"/>
              <w:topLinePunct/>
              <w:autoSpaceDE w:val="0"/>
              <w:autoSpaceDN w:val="0"/>
              <w:bidi w:val="0"/>
              <w:adjustRightInd w:val="0"/>
              <w:snapToGrid w:val="0"/>
              <w:spacing w:line="380" w:lineRule="auto"/>
              <w:jc w:val="center"/>
              <w:textAlignment w:val="baseline"/>
            </w:pPr>
            <w:r>
              <w:rPr>
                <w:rFonts w:hint="eastAsia" w:ascii="Arial"/>
                <w:sz w:val="21"/>
              </w:rPr>
              <w:t>食品药品领域安全事故应急处置</w:t>
            </w:r>
          </w:p>
        </w:tc>
        <w:tc>
          <w:tcPr>
            <w:tcW w:w="3392"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市场监管部门接到涉及食品药品领域安全预警或发现安全事故后，负责统筹开展事故评估、应急处置、情况报送等工作。</w:t>
            </w:r>
          </w:p>
        </w:tc>
        <w:tc>
          <w:tcPr>
            <w:tcW w:w="33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接到危及食品、药品安全预警或发现食品安全事故后，第一时间</w:t>
            </w: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告知县级食安委、市场监管和卫生健康等部门前往现场进行应急处置，并配合做好相关工作。</w:t>
            </w:r>
          </w:p>
        </w:tc>
        <w:tc>
          <w:tcPr>
            <w:tcW w:w="31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pPr>
            <w:r>
              <w:rPr>
                <w:spacing w:val="-3"/>
              </w:rPr>
              <w:t>《药品管理法》</w:t>
            </w:r>
          </w:p>
        </w:tc>
        <w:tc>
          <w:tcPr>
            <w:tcW w:w="781"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县市场监督管理局</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25"/>
        <w:gridCol w:w="1244"/>
        <w:gridCol w:w="3426"/>
        <w:gridCol w:w="3597"/>
        <w:gridCol w:w="2849"/>
        <w:gridCol w:w="763"/>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22</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3"/>
              </w:rPr>
              <w:t>市场监管</w:t>
            </w:r>
          </w:p>
        </w:tc>
        <w:tc>
          <w:tcPr>
            <w:tcW w:w="1244" w:type="dxa"/>
            <w:vAlign w:val="center"/>
          </w:tcPr>
          <w:p>
            <w:pPr>
              <w:keepNext w:val="0"/>
              <w:keepLines w:val="0"/>
              <w:pageBreakBefore w:val="0"/>
              <w:widowControl/>
              <w:kinsoku w:val="0"/>
              <w:wordWrap/>
              <w:overflowPunct w:val="0"/>
              <w:topLinePunct/>
              <w:autoSpaceDE w:val="0"/>
              <w:autoSpaceDN w:val="0"/>
              <w:bidi w:val="0"/>
              <w:adjustRightInd w:val="0"/>
              <w:snapToGrid w:val="0"/>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1" w:lineRule="auto"/>
              <w:jc w:val="center"/>
              <w:textAlignment w:val="baseline"/>
              <w:rPr>
                <w:rFonts w:ascii="Arial"/>
                <w:sz w:val="21"/>
              </w:rPr>
            </w:pPr>
            <w:r>
              <w:rPr>
                <w:rFonts w:hint="eastAsia" w:ascii="Arial"/>
                <w:sz w:val="21"/>
              </w:rPr>
              <w:t>对价格违法行为的监管执法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410"/>
              <w:jc w:val="center"/>
              <w:textAlignment w:val="baseline"/>
            </w:pP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市场监管部门负责本行政区域内商品价格、服务价格以及行政事业性收费的价格监管工作，依法受理价格投诉举报，依法查处法律、行政法规禁止的价格违法行为。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负责开展日常巡查，发现辖区内企业、商贩(铺)价格收费违法问题线索，及时上报市场监管部门处理。</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《价格违法行为行政处罚规定》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《侵害消费者权益行为处罚办法》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《明码标价和禁止价格欺诈规定》</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23</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对虚假广告违法行为的监管执法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市场监管部门负责监测各类媒介广告发布情况，及时发现和依法查处违法广告行为。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负责开展日常巡查，发现或收到发布虚假广告问题线索，及时上报市场监管部门处理，协助做好执法相关工作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《广告法》</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pPr>
            <w:r>
              <w:rPr>
                <w:spacing w:val="-3"/>
              </w:rPr>
              <w:t>24</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color w:val="000000" w:themeColor="text1"/>
                <w:spacing w:val="3"/>
                <w14:textFill>
                  <w14:solidFill>
                    <w14:schemeClr w14:val="tx1"/>
                  </w14:solidFill>
                </w14:textFill>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6" w:line="225" w:lineRule="auto"/>
              <w:jc w:val="center"/>
              <w:textAlignment w:val="baseline"/>
            </w:pPr>
            <w:r>
              <w:rPr>
                <w:rFonts w:hint="eastAsia"/>
              </w:rPr>
              <w:t>对传销、违规直销等行为的监管执法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公安、市场监管等部门组织查处本行政区域内传销行为、违规直销行为。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开展日常巡查，发现或收到传销、违规直销等问题线索，及时上报公安、市场监管等部门处理，并协助做好执法相关工作。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《反不正当竞争法》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《禁止传销条例》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《直销管理条例》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2" w:hRule="atLeast"/>
        </w:trPr>
        <w:tc>
          <w:tcPr>
            <w:tcW w:w="4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pPr>
            <w:r>
              <w:rPr>
                <w:spacing w:val="-3"/>
              </w:rPr>
              <w:t>25</w:t>
            </w:r>
          </w:p>
        </w:tc>
        <w:tc>
          <w:tcPr>
            <w:tcW w:w="11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市场监管</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4" w:lineRule="auto"/>
              <w:ind w:right="106"/>
              <w:jc w:val="center"/>
              <w:textAlignment w:val="baseline"/>
            </w:pPr>
            <w:r>
              <w:rPr>
                <w:rFonts w:hint="eastAsia"/>
              </w:rPr>
              <w:t>特种设备监管执法</w:t>
            </w:r>
          </w:p>
        </w:tc>
        <w:tc>
          <w:tcPr>
            <w:tcW w:w="342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59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结合常规工作日常巡查，发现问题及时上报市场监管、公安部门处理，并配合上级有关部门督促企业进行整治整改，配合做好执法相关秩序维护等工作。</w:t>
            </w:r>
          </w:p>
        </w:tc>
        <w:tc>
          <w:tcPr>
            <w:tcW w:w="28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《特种设备安全法》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sz w:val="22"/>
                <w:szCs w:val="22"/>
              </w:rPr>
              <w:t>《特种设备安全监察条例》</w:t>
            </w:r>
          </w:p>
        </w:tc>
        <w:tc>
          <w:tcPr>
            <w:tcW w:w="7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ascii="宋体" w:hAnsi="宋体" w:eastAsia="宋体" w:cs="宋体"/>
                <w:snapToGrid w:val="0"/>
                <w:color w:val="000000"/>
                <w:spacing w:val="4"/>
                <w:kern w:val="0"/>
                <w:sz w:val="22"/>
                <w:szCs w:val="22"/>
                <w:lang w:val="en-US" w:eastAsia="en-US" w:bidi="ar-SA"/>
              </w:rPr>
            </w:pPr>
            <w:r>
              <w:rPr>
                <w:rFonts w:hint="eastAsia" w:ascii="宋体" w:hAnsi="宋体" w:eastAsia="宋体" w:cs="宋体"/>
                <w:snapToGrid w:val="0"/>
                <w:color w:val="000000"/>
                <w:spacing w:val="4"/>
                <w:kern w:val="0"/>
                <w:sz w:val="22"/>
                <w:szCs w:val="22"/>
                <w:lang w:val="en-US" w:eastAsia="zh-CN" w:bidi="ar-SA"/>
              </w:rPr>
              <w:t>理局</w:t>
            </w:r>
            <w:r>
              <w:rPr>
                <w:rFonts w:hint="eastAsia" w:eastAsia="宋体"/>
                <w:color w:val="auto"/>
                <w:sz w:val="21"/>
                <w:lang w:val="en-US" w:eastAsia="zh-CN"/>
              </w:rPr>
              <w:t>等相关部门</w:t>
            </w:r>
          </w:p>
        </w:tc>
        <w:tc>
          <w:tcPr>
            <w:tcW w:w="912"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18"/>
                <w:szCs w:val="18"/>
                <w:lang w:val="en-US" w:eastAsia="zh-CN" w:bidi="ar-SA"/>
              </w:rPr>
            </w:pPr>
            <w:r>
              <w:rPr>
                <w:rFonts w:hint="eastAsia" w:ascii="宋体" w:hAnsi="宋体" w:eastAsia="宋体" w:cs="宋体"/>
                <w:snapToGrid w:val="0"/>
                <w:color w:val="000000"/>
                <w:spacing w:val="4"/>
                <w:kern w:val="0"/>
                <w:sz w:val="18"/>
                <w:szCs w:val="18"/>
                <w:lang w:val="en-US" w:eastAsia="zh-CN" w:bidi="ar-SA"/>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85"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1"/>
        <w:gridCol w:w="1074"/>
        <w:gridCol w:w="1261"/>
        <w:gridCol w:w="3443"/>
        <w:gridCol w:w="3529"/>
        <w:gridCol w:w="3181"/>
        <w:gridCol w:w="659"/>
        <w:gridCol w:w="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26</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rFonts w:hint="eastAsia"/>
              </w:rPr>
              <w:t>成品油批发、仓储和零售经营市场的监管</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应急管理、商务、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left"/>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对辖区内加油站、流动经营成油售卖情况开展日常巡查并做好记录，收集相关线索，发现非法批发、仓和零售经营成品油或存在安全隐患的，及时上报有关部门处理。</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《无证无照经营查处办法》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《关于做好石油成品油流通管理“放管服”改革工作的通知》(商运函〔2019〕659号)</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《关于印发&lt;石油成品油流通行业管理工作指引&gt;的通知》(商办消费函〔2020〕439号)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场监</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督管理局</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86"/>
              <w:jc w:val="center"/>
              <w:textAlignment w:val="baseline"/>
              <w:rPr>
                <w:rFonts w:hint="eastAsia" w:eastAsia="宋体"/>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5" w:hRule="atLeast"/>
        </w:trPr>
        <w:tc>
          <w:tcPr>
            <w:tcW w:w="51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27</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rFonts w:hint="eastAsia"/>
              </w:rPr>
              <w:t>农村集体聚餐食品安全管理</w:t>
            </w:r>
          </w:p>
        </w:tc>
        <w:tc>
          <w:tcPr>
            <w:tcW w:w="3443"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w:t>
            </w:r>
          </w:p>
        </w:tc>
        <w:tc>
          <w:tcPr>
            <w:tcW w:w="352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left"/>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承担农村集体聚餐备案工作务，督促辖区村居收集食品安全信息，及时报送相关部门，协助做好日常管理工作。发生食品安全事故或疑似食品安全事故后，立即采取处置措施，村</w:t>
            </w:r>
            <w:r>
              <w:rPr>
                <w:rFonts w:hint="eastAsia"/>
                <w:color w:val="000000" w:themeColor="text1"/>
                <w:spacing w:val="-6"/>
                <w:sz w:val="22"/>
                <w:szCs w:val="22"/>
                <w:lang w:val="en-US" w:eastAsia="zh-CN"/>
                <w14:textFill>
                  <w14:solidFill>
                    <w14:schemeClr w14:val="tx1"/>
                  </w14:solidFill>
                </w14:textFill>
              </w:rPr>
              <w:t xml:space="preserve"> </w:t>
            </w:r>
            <w:r>
              <w:rPr>
                <w:color w:val="000000" w:themeColor="text1"/>
                <w:spacing w:val="-6"/>
                <w:sz w:val="22"/>
                <w:szCs w:val="22"/>
                <w14:textFill>
                  <w14:solidFill>
                    <w14:schemeClr w14:val="tx1"/>
                  </w14:solidFill>
                </w14:textFill>
              </w:rPr>
              <w:t>查、救治和处置工作</w:t>
            </w:r>
          </w:p>
        </w:tc>
        <w:tc>
          <w:tcPr>
            <w:tcW w:w="318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18"/>
                <w:szCs w:val="18"/>
              </w:rPr>
            </w:pPr>
            <w:r>
              <w:rPr>
                <w:spacing w:val="-3"/>
                <w:sz w:val="18"/>
                <w:szCs w:val="18"/>
              </w:rPr>
              <w:t>《食品生产经营监督检查管理办法》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0"/>
                <w:szCs w:val="20"/>
              </w:rPr>
            </w:pPr>
            <w:r>
              <w:rPr>
                <w:spacing w:val="-3"/>
                <w:sz w:val="20"/>
                <w:szCs w:val="20"/>
              </w:rPr>
              <w:t>《食品经营许可和备案管理办法》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《国务院食品安全办关于进</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一步强化农村集体聚餐食品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安全风险防控的指导意见》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(食安办〔2015〕22号)</w:t>
            </w:r>
          </w:p>
        </w:tc>
        <w:tc>
          <w:tcPr>
            <w:tcW w:w="659" w:type="dxa"/>
            <w:vAlign w:val="top"/>
          </w:tcPr>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61"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default"/>
                <w:lang w:val="en-US"/>
              </w:rPr>
            </w:pPr>
            <w:r>
              <w:rPr>
                <w:rFonts w:hint="eastAsia" w:ascii="宋体" w:hAnsi="宋体" w:eastAsia="宋体" w:cs="宋体"/>
                <w:snapToGrid w:val="0"/>
                <w:color w:val="000000"/>
                <w:spacing w:val="4"/>
                <w:kern w:val="0"/>
                <w:sz w:val="22"/>
                <w:szCs w:val="22"/>
                <w:lang w:val="en-US" w:eastAsia="zh-CN" w:bidi="ar-SA"/>
              </w:rPr>
              <w:t>场监督管理局</w:t>
            </w:r>
            <w:r>
              <w:rPr>
                <w:rFonts w:hint="eastAsia" w:cs="宋体"/>
                <w:snapToGrid w:val="0"/>
                <w:color w:val="000000"/>
                <w:spacing w:val="4"/>
                <w:kern w:val="0"/>
                <w:sz w:val="22"/>
                <w:szCs w:val="22"/>
                <w:lang w:val="en-US" w:eastAsia="zh-CN" w:bidi="ar-SA"/>
              </w:rPr>
              <w:t>等</w:t>
            </w:r>
            <w:r>
              <w:rPr>
                <w:rFonts w:hint="eastAsia" w:eastAsia="宋体"/>
                <w:color w:val="auto"/>
                <w:sz w:val="21"/>
                <w:lang w:val="en-US" w:eastAsia="zh-CN"/>
              </w:rPr>
              <w:t>相关部门</w:t>
            </w:r>
          </w:p>
        </w:tc>
        <w:tc>
          <w:tcPr>
            <w:tcW w:w="9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2" w:lineRule="auto"/>
              <w:ind w:left="89" w:right="86"/>
              <w:jc w:val="center"/>
              <w:textAlignment w:val="baseline"/>
              <w:rPr>
                <w:rFonts w:hint="eastAsia" w:eastAsia="宋体"/>
                <w:lang w:eastAsia="zh-CN"/>
              </w:rPr>
            </w:pPr>
            <w:r>
              <w:rPr>
                <w:rFonts w:hint="eastAsia" w:ascii="Arial"/>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27"/>
        <w:gridCol w:w="3886"/>
        <w:gridCol w:w="3419"/>
        <w:gridCol w:w="2878"/>
        <w:gridCol w:w="649"/>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8" w:lineRule="auto"/>
              <w:jc w:val="center"/>
              <w:textAlignment w:val="baseline"/>
            </w:pPr>
            <w:r>
              <w:rPr>
                <w:rFonts w:hint="eastAsia" w:ascii="Arial"/>
                <w:sz w:val="21"/>
              </w:rPr>
              <w:t>农村庙会集会市场监管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集会庆典应急预案，联合公安、市场监管、应急管理等部门做好秩序维护、市场管理、食品安全检查、综合治理和服务等工作，配合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《食品安全法》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《药品管理法》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《营业性演出管理条例》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《出版物市场管理规定》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《音像制品管理条例》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《山西省食品小作坊小经营店小摊点管理条例》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《山西省大型群众性活动安全管理办法》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jc w:val="center"/>
              <w:textAlignment w:val="baseline"/>
              <w:rPr>
                <w:rFonts w:hint="eastAsia" w:eastAsia="宋体"/>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2"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29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3"/>
              </w:rPr>
              <w:t>市场监管</w:t>
            </w:r>
          </w:p>
        </w:tc>
        <w:tc>
          <w:tcPr>
            <w:tcW w:w="122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产品生产经营企业日常监管</w:t>
            </w:r>
          </w:p>
        </w:tc>
        <w:tc>
          <w:tcPr>
            <w:tcW w:w="388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处理工作查处假冒伪劣等侵害消费者合法权益的违法行为。</w:t>
            </w:r>
          </w:p>
        </w:tc>
        <w:tc>
          <w:tcPr>
            <w:tcW w:w="341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负责开展日常巡查，发现问题及时上报市场监管部门处理，并配合上级有关部门督促企业进行整治整改，协助做好行政执法相关保护现场、疏散人群等工作，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sz w:val="22"/>
                <w:szCs w:val="22"/>
              </w:rPr>
            </w:pPr>
            <w:r>
              <w:rPr>
                <w:spacing w:val="-3"/>
                <w:sz w:val="22"/>
                <w:szCs w:val="22"/>
              </w:rPr>
              <w:t>《工业产品生产许可证管理条例》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《认证认可条例》</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《强制性产品认证管理规定》</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《认证机构管理办法》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4" w:line="232" w:lineRule="auto"/>
              <w:jc w:val="center"/>
              <w:textAlignment w:val="baseline"/>
              <w:rPr>
                <w:spacing w:val="-3"/>
              </w:rPr>
            </w:pPr>
            <w:r>
              <w:rPr>
                <w:spacing w:val="-3"/>
              </w:rPr>
              <w:t>《产品质量监督抽查管理暂行办法》</w:t>
            </w:r>
          </w:p>
        </w:tc>
        <w:tc>
          <w:tcPr>
            <w:tcW w:w="649" w:type="dxa"/>
            <w:vAlign w:val="center"/>
          </w:tcPr>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rPr>
                <w:rFonts w:hint="eastAsia" w:ascii="宋体" w:hAnsi="宋体" w:eastAsia="宋体" w:cs="宋体"/>
                <w:snapToGrid w:val="0"/>
                <w:color w:val="000000"/>
                <w:spacing w:val="4"/>
                <w:kern w:val="0"/>
                <w:sz w:val="22"/>
                <w:szCs w:val="22"/>
                <w:lang w:val="en-US" w:eastAsia="zh-CN" w:bidi="ar-SA"/>
              </w:rPr>
            </w:pPr>
            <w:r>
              <w:rPr>
                <w:rFonts w:hint="eastAsia" w:ascii="宋体" w:hAnsi="宋体" w:eastAsia="宋体" w:cs="宋体"/>
                <w:snapToGrid w:val="0"/>
                <w:color w:val="000000"/>
                <w:spacing w:val="4"/>
                <w:kern w:val="0"/>
                <w:sz w:val="22"/>
                <w:szCs w:val="22"/>
                <w:lang w:val="en-US" w:eastAsia="zh-CN" w:bidi="ar-SA"/>
              </w:rPr>
              <w:t>县市</w:t>
            </w:r>
          </w:p>
          <w:p>
            <w:pPr>
              <w:keepNext w:val="0"/>
              <w:keepLines w:val="0"/>
              <w:pageBreakBefore w:val="0"/>
              <w:widowControl/>
              <w:kinsoku w:val="0"/>
              <w:wordWrap/>
              <w:overflowPunct w:val="0"/>
              <w:topLinePunct/>
              <w:autoSpaceDE w:val="0"/>
              <w:autoSpaceDN w:val="0"/>
              <w:bidi w:val="0"/>
              <w:adjustRightInd w:val="0"/>
              <w:snapToGrid w:val="0"/>
              <w:spacing w:line="251" w:lineRule="auto"/>
              <w:jc w:val="center"/>
              <w:textAlignment w:val="baseline"/>
            </w:pPr>
            <w:r>
              <w:rPr>
                <w:rFonts w:hint="eastAsia" w:ascii="宋体" w:hAnsi="宋体" w:eastAsia="宋体" w:cs="宋体"/>
                <w:snapToGrid w:val="0"/>
                <w:color w:val="000000"/>
                <w:spacing w:val="4"/>
                <w:kern w:val="0"/>
                <w:sz w:val="22"/>
                <w:szCs w:val="22"/>
                <w:lang w:val="en-US" w:eastAsia="zh-CN" w:bidi="ar-SA"/>
              </w:rPr>
              <w:t>场监督管理局</w:t>
            </w:r>
          </w:p>
        </w:tc>
        <w:tc>
          <w:tcPr>
            <w:tcW w:w="8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54"/>
                <w:szCs w:val="54"/>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57"/>
        <w:gridCol w:w="1244"/>
        <w:gridCol w:w="3903"/>
        <w:gridCol w:w="3482"/>
        <w:gridCol w:w="2718"/>
        <w:gridCol w:w="799"/>
        <w:gridCol w:w="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6"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7" w:lineRule="auto"/>
              <w:ind w:right="46"/>
              <w:jc w:val="center"/>
              <w:textAlignment w:val="baseline"/>
            </w:pPr>
            <w:r>
              <w:rPr>
                <w:rFonts w:hint="eastAsia"/>
              </w:rPr>
              <w:t>对自然资源卫片发现违法建设行为的监管执法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自然资源部门负责收到上级卫片信息后，对卫片进行对比甄别、实地核实认定，确定违法建设名单后，属于本部门职责范围内的依法查处，涉及其他部门职责的移交其他部门依法查处。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eastAsia="宋体"/>
                <w:lang w:val="en-US" w:eastAsia="zh-CN"/>
              </w:rPr>
            </w:pPr>
            <w:r>
              <w:rPr>
                <w:rFonts w:hint="eastAsia"/>
                <w:spacing w:val="7"/>
                <w:lang w:val="en-US" w:eastAsia="zh-CN"/>
              </w:rPr>
              <w:t>县自然资源局</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9"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4"/>
              </w:rPr>
              <w:t>31</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对自然资源(国土卫片外)违法建设行为的日常监管、违法认定和执法</w:t>
            </w:r>
          </w:p>
        </w:tc>
        <w:tc>
          <w:tcPr>
            <w:tcW w:w="3903"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自然资源、城市管理、农业农村等部门按职责分工负责对国土空间规划执行、基本农田保护情况进行摸底排查，发现或接到问题线索后进行实地核实认定，确认违法的连同相关资料移交相关执法机构依法查处。</w:t>
            </w:r>
          </w:p>
        </w:tc>
        <w:tc>
          <w:tcPr>
            <w:tcW w:w="3482"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、村(社区)网格监管力量，对辖区内规划、土地违法行为进行日常巡查，做好日常规划建设、耕地保护的宣传工作；发现卫片以外的违法线索进行初步核实，存在违法行为的及时制止，由</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根据赋权事项要求依法查处，对逾期未整改到位的配合做好执法相关秩序维护等工作。</w:t>
            </w:r>
          </w:p>
        </w:tc>
        <w:tc>
          <w:tcPr>
            <w:tcW w:w="271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3" w:lineRule="auto"/>
              <w:jc w:val="center"/>
              <w:textAlignment w:val="baseline"/>
            </w:pPr>
            <w:r>
              <w:rPr>
                <w:spacing w:val="-3"/>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3"/>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right="3"/>
              <w:jc w:val="center"/>
              <w:textAlignment w:val="baseline"/>
            </w:pPr>
            <w:r>
              <w:rPr>
                <w:spacing w:val="-4"/>
              </w:rPr>
              <w:t>《山西省人民政府关于向乡</w:t>
            </w:r>
            <w:r>
              <w:rPr>
                <w:spacing w:val="1"/>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38" w:line="219" w:lineRule="auto"/>
              <w:jc w:val="center"/>
              <w:textAlignment w:val="baseline"/>
            </w:pPr>
            <w:r>
              <w:rPr>
                <w:spacing w:val="-12"/>
              </w:rPr>
              <w:t>放部分行政执法职权的决定》</w:t>
            </w:r>
            <w:r>
              <w:rPr>
                <w:spacing w:val="3"/>
              </w:rPr>
              <w:t>(晋政发〔2022〕22号)</w:t>
            </w:r>
          </w:p>
        </w:tc>
        <w:tc>
          <w:tcPr>
            <w:tcW w:w="7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r>
              <w:rPr>
                <w:rFonts w:hint="eastAsia"/>
                <w:spacing w:val="7"/>
                <w:lang w:val="en-US" w:eastAsia="zh-CN"/>
              </w:rPr>
              <w:t>县自然资源局</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pacing w:val="7"/>
                <w:lang w:val="en-US" w:eastAsia="zh-CN"/>
              </w:rPr>
            </w:pPr>
            <w:r>
              <w:rPr>
                <w:rFonts w:hint="eastAsia"/>
                <w:spacing w:val="7"/>
                <w:lang w:val="en-US" w:eastAsia="zh-CN"/>
              </w:rPr>
              <w:t>等</w:t>
            </w:r>
            <w:r>
              <w:rPr>
                <w:rFonts w:hint="eastAsia" w:eastAsia="宋体"/>
                <w:color w:val="auto"/>
                <w:sz w:val="21"/>
                <w:lang w:val="en-US" w:eastAsia="zh-CN"/>
              </w:rPr>
              <w:t>相关部门</w:t>
            </w:r>
          </w:p>
        </w:tc>
        <w:tc>
          <w:tcPr>
            <w:tcW w:w="8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6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9"/>
        <w:gridCol w:w="1074"/>
        <w:gridCol w:w="1244"/>
        <w:gridCol w:w="3784"/>
        <w:gridCol w:w="2727"/>
        <w:gridCol w:w="3324"/>
        <w:gridCol w:w="964"/>
        <w:gridCol w:w="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4"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32</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对非法占用、破坏耕地行为的监管执法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农业农村部门负责对辖区内耕地利用情况开展摸底排查，对发现或接到举报的非法占用、破坏耕地等违法行为派人现场核查认定，根据需要出具耕地破坏程度鉴定结论，连同有关材料移交相关执法机构依法查处，涉嫌犯罪的移交公安机关依法追究刑事责任。建立案件处理通报制度，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对辖区内非法占用、破坏耕地问题进行全面排查，建立工作台账，发现违法违规行为及时制止，根据赋权事项要求做好执法和案件查处相关工作。</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0"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3"/>
                <w:sz w:val="22"/>
                <w:szCs w:val="22"/>
              </w:rPr>
              <w:t>《城乡规划法》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rPr>
                <w:sz w:val="22"/>
                <w:szCs w:val="22"/>
              </w:rPr>
            </w:pPr>
            <w:r>
              <w:rPr>
                <w:spacing w:val="-2"/>
                <w:sz w:val="22"/>
                <w:szCs w:val="22"/>
              </w:rPr>
              <w:t>《基本农田保护条例》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6"/>
                <w:sz w:val="22"/>
                <w:szCs w:val="22"/>
              </w:rPr>
              <w:t>《国土资源部、最高人民检察</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spacing w:val="-1"/>
                <w:sz w:val="22"/>
                <w:szCs w:val="22"/>
              </w:rPr>
              <w:t>院、公安部关于国土资源行政</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主管部门移送涉嫌国土资源犯</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jc w:val="center"/>
              <w:textAlignment w:val="baseline"/>
              <w:rPr>
                <w:sz w:val="22"/>
                <w:szCs w:val="22"/>
              </w:rPr>
            </w:pPr>
            <w:r>
              <w:rPr>
                <w:spacing w:val="1"/>
                <w:sz w:val="22"/>
                <w:szCs w:val="22"/>
              </w:rPr>
              <w:t>罪案件的若干意见》(国土资</w:t>
            </w:r>
          </w:p>
          <w:p>
            <w:pPr>
              <w:pStyle w:val="7"/>
              <w:keepNext w:val="0"/>
              <w:keepLines w:val="0"/>
              <w:pageBreakBefore w:val="0"/>
              <w:widowControl/>
              <w:kinsoku w:val="0"/>
              <w:wordWrap/>
              <w:overflowPunct w:val="0"/>
              <w:topLinePunct/>
              <w:autoSpaceDE w:val="0"/>
              <w:autoSpaceDN w:val="0"/>
              <w:bidi w:val="0"/>
              <w:adjustRightInd w:val="0"/>
              <w:snapToGrid w:val="0"/>
              <w:spacing w:before="21" w:line="220" w:lineRule="auto"/>
              <w:jc w:val="center"/>
              <w:textAlignment w:val="baseline"/>
              <w:rPr>
                <w:sz w:val="22"/>
                <w:szCs w:val="22"/>
              </w:rPr>
            </w:pPr>
            <w:r>
              <w:rPr>
                <w:spacing w:val="4"/>
                <w:sz w:val="22"/>
                <w:szCs w:val="22"/>
              </w:rPr>
              <w:t>发〔2008〕203号)</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rPr>
                <w:sz w:val="22"/>
                <w:szCs w:val="22"/>
              </w:rPr>
            </w:pPr>
            <w:r>
              <w:rPr>
                <w:spacing w:val="-6"/>
                <w:sz w:val="22"/>
                <w:szCs w:val="22"/>
              </w:rPr>
              <w:t>《耕地和林地破坏司法鉴定技</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术规范》</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6"/>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41" w:line="219" w:lineRule="auto"/>
              <w:ind w:left="57"/>
              <w:jc w:val="center"/>
              <w:textAlignment w:val="baseline"/>
              <w:rPr>
                <w:sz w:val="22"/>
                <w:szCs w:val="22"/>
              </w:rPr>
            </w:pPr>
            <w:r>
              <w:rPr>
                <w:spacing w:val="-1"/>
                <w:sz w:val="22"/>
                <w:szCs w:val="22"/>
              </w:rPr>
              <w:t>分行政执法职权的决定》(晋</w:t>
            </w:r>
          </w:p>
          <w:p>
            <w:pPr>
              <w:pStyle w:val="7"/>
              <w:keepNext w:val="0"/>
              <w:keepLines w:val="0"/>
              <w:pageBreakBefore w:val="0"/>
              <w:widowControl/>
              <w:kinsoku w:val="0"/>
              <w:wordWrap/>
              <w:overflowPunct w:val="0"/>
              <w:topLinePunct/>
              <w:autoSpaceDE w:val="0"/>
              <w:autoSpaceDN w:val="0"/>
              <w:bidi w:val="0"/>
              <w:adjustRightInd w:val="0"/>
              <w:snapToGrid w:val="0"/>
              <w:spacing w:before="59" w:line="220" w:lineRule="auto"/>
              <w:jc w:val="center"/>
              <w:textAlignment w:val="baseline"/>
              <w:rPr>
                <w:sz w:val="22"/>
                <w:szCs w:val="22"/>
              </w:rPr>
            </w:pPr>
            <w:r>
              <w:rPr>
                <w:spacing w:val="4"/>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z w:val="22"/>
                <w:szCs w:val="22"/>
                <w:lang w:val="en-US" w:eastAsia="zh-CN"/>
              </w:rPr>
            </w:pPr>
            <w:r>
              <w:rPr>
                <w:rFonts w:hint="eastAsia"/>
                <w:spacing w:val="4"/>
                <w:sz w:val="18"/>
                <w:szCs w:val="18"/>
                <w:lang w:eastAsia="zh-CN"/>
              </w:rPr>
              <w:t>聂营镇</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eastAsia="宋体"/>
                <w:sz w:val="22"/>
                <w:szCs w:val="22"/>
                <w:lang w:eastAsia="zh-CN"/>
              </w:rPr>
              <w:t>县自然资源局等相关部门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8" w:hRule="atLeast"/>
        </w:trPr>
        <w:tc>
          <w:tcPr>
            <w:tcW w:w="5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33</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对非法采矿行为的监管执法</w:t>
            </w:r>
          </w:p>
        </w:tc>
        <w:tc>
          <w:tcPr>
            <w:tcW w:w="3784"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自然资源部门负责对非法采矿进行巡查和监督管理，对赋权事项外的违法行为进行行政处罚，相关情况及时通报告知有关部门和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2727"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辖区内矿产资源开展日常巡查、监管和宣传教育工作；发现违法线索进行初步核实，按约定时限上报有关部门处理，配合做好执法相关现场确认、秩序维护等工作，根据赋权事项要求对擅自在耕地上采矿等破坏种植条件的行为进行处罚。</w:t>
            </w:r>
          </w:p>
        </w:tc>
        <w:tc>
          <w:tcPr>
            <w:tcW w:w="332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86" w:line="219" w:lineRule="auto"/>
              <w:jc w:val="center"/>
              <w:textAlignment w:val="baseline"/>
              <w:rPr>
                <w:sz w:val="22"/>
                <w:szCs w:val="22"/>
              </w:rPr>
            </w:pPr>
            <w:r>
              <w:rPr>
                <w:spacing w:val="-3"/>
                <w:sz w:val="22"/>
                <w:szCs w:val="22"/>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ind w:left="57"/>
              <w:jc w:val="center"/>
              <w:textAlignment w:val="baseline"/>
              <w:rPr>
                <w:sz w:val="22"/>
                <w:szCs w:val="22"/>
              </w:rPr>
            </w:pPr>
            <w:r>
              <w:rPr>
                <w:sz w:val="22"/>
                <w:szCs w:val="22"/>
              </w:rPr>
              <w:t>《最高人民法院、最高人民</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pacing w:val="-1"/>
                <w:sz w:val="22"/>
                <w:szCs w:val="22"/>
              </w:rPr>
            </w:pPr>
            <w:r>
              <w:rPr>
                <w:spacing w:val="9"/>
                <w:sz w:val="22"/>
                <w:szCs w:val="22"/>
              </w:rPr>
              <w:t>检察院关于办理非法采矿、</w:t>
            </w:r>
            <w:r>
              <w:rPr>
                <w:spacing w:val="2"/>
                <w:sz w:val="22"/>
                <w:szCs w:val="22"/>
              </w:rPr>
              <w:t>破坏性采矿刑事案件适用</w:t>
            </w:r>
            <w:r>
              <w:rPr>
                <w:spacing w:val="-1"/>
                <w:sz w:val="22"/>
                <w:szCs w:val="22"/>
              </w:rPr>
              <w:t>法律若干问题的解释》</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(法</w:t>
            </w:r>
            <w:r>
              <w:rPr>
                <w:spacing w:val="4"/>
                <w:sz w:val="22"/>
                <w:szCs w:val="22"/>
              </w:rPr>
              <w:t>释〔2016〕25号)</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7"/>
                <w:sz w:val="22"/>
                <w:szCs w:val="22"/>
              </w:rPr>
              <w:t>《山西省人民政府关于向乡镇</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1"/>
                <w:sz w:val="22"/>
                <w:szCs w:val="22"/>
              </w:rPr>
              <w:t>人民政府和办事处下放部</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pacing w:val="-1"/>
                <w:sz w:val="22"/>
                <w:szCs w:val="22"/>
              </w:rPr>
            </w:pPr>
            <w:r>
              <w:rPr>
                <w:spacing w:val="-1"/>
                <w:sz w:val="22"/>
                <w:szCs w:val="22"/>
              </w:rPr>
              <w:t>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50" w:line="219" w:lineRule="auto"/>
              <w:jc w:val="center"/>
              <w:textAlignment w:val="baseline"/>
              <w:rPr>
                <w:sz w:val="22"/>
                <w:szCs w:val="22"/>
              </w:rPr>
            </w:pPr>
            <w:r>
              <w:rPr>
                <w:spacing w:val="-1"/>
                <w:sz w:val="22"/>
                <w:szCs w:val="22"/>
              </w:rPr>
              <w:t>(晋</w:t>
            </w:r>
            <w:r>
              <w:rPr>
                <w:spacing w:val="3"/>
                <w:sz w:val="22"/>
                <w:szCs w:val="22"/>
              </w:rPr>
              <w:t>政发〔2022〕22号!</w:t>
            </w:r>
          </w:p>
        </w:tc>
        <w:tc>
          <w:tcPr>
            <w:tcW w:w="9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县自然资源局等</w:t>
            </w:r>
            <w:r>
              <w:rPr>
                <w:rFonts w:hint="eastAsia" w:eastAsia="宋体"/>
                <w:color w:val="auto"/>
                <w:sz w:val="21"/>
                <w:lang w:val="en-US" w:eastAsia="zh-CN"/>
              </w:rPr>
              <w:t>相关部门</w:t>
            </w:r>
          </w:p>
        </w:tc>
        <w:tc>
          <w:tcPr>
            <w:tcW w:w="9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057"/>
        <w:gridCol w:w="1244"/>
        <w:gridCol w:w="4066"/>
        <w:gridCol w:w="3268"/>
        <w:gridCol w:w="2878"/>
        <w:gridCol w:w="659"/>
        <w:gridCol w:w="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5"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0" w:lineRule="auto"/>
              <w:ind w:right="59"/>
              <w:jc w:val="center"/>
              <w:textAlignment w:val="baseline"/>
            </w:pPr>
            <w:r>
              <w:rPr>
                <w:rFonts w:hint="eastAsia"/>
              </w:rPr>
              <w:t>对森林资源的监管执法</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林业主管部门负责对违反森林资源保护法律法规的行为进行巡查和监督管理，及时将林木采伐许可证的核发情况推送至</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对盗伐、滥伐、毁林开垦、毁坏林木、非法收购加工运输木材等赋权事项进行行政处罚，对擅自改变林地用途、非法捕猎、收购野生动物等赋权事项外的违法行为进行行政处罚，相关情况及时通报告知有关部门和</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、村(社区)网格监管力量，日常巡查发现问题及时上报林业主管部门，根据赋权事项要求做好执法和案件查处相关工作，配合做好执法相关秩序维护等工作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《森林法实施条例》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rPr>
                <w:spacing w:val="-2"/>
              </w:rPr>
            </w:pPr>
            <w:r>
              <w:rPr>
                <w:spacing w:val="-2"/>
              </w:rPr>
              <w:t>《森林采伐更新管理办法》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5" w:line="222" w:lineRule="auto"/>
              <w:ind w:right="18"/>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9" w:hRule="atLeast"/>
        </w:trPr>
        <w:tc>
          <w:tcPr>
            <w:tcW w:w="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4"/>
              </w:rPr>
              <w:t>35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48"/>
              <w:jc w:val="center"/>
              <w:textAlignment w:val="baseline"/>
            </w:pPr>
            <w:r>
              <w:rPr>
                <w:rFonts w:hint="eastAsia"/>
              </w:rPr>
              <w:t>林业病虫害的监测防治</w:t>
            </w:r>
          </w:p>
        </w:tc>
        <w:tc>
          <w:tcPr>
            <w:tcW w:w="4066"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林业主管部门负责对林业有害生物进行调查与监测，制定工作预案和防治措施；发现或接到林业病虫害有关情况报告后，安排专业技术人员进行现场确认，根据虫害情况制定具体解决方案，组织开展并指导</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做好有害生物防治工作，提供防治技术支持和资源保障。</w:t>
            </w:r>
          </w:p>
        </w:tc>
        <w:tc>
          <w:tcPr>
            <w:tcW w:w="326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p>
          <w:p>
            <w:pPr>
              <w:pStyle w:val="7"/>
              <w:keepNext w:val="0"/>
              <w:keepLines w:val="0"/>
              <w:pageBreakBefore w:val="0"/>
              <w:widowControl/>
              <w:kinsoku/>
              <w:wordWrap/>
              <w:overflowPunct w:val="0"/>
              <w:topLinePunct w:val="0"/>
              <w:autoSpaceDE w:val="0"/>
              <w:autoSpaceDN w:val="0"/>
              <w:bidi w:val="0"/>
              <w:adjustRightInd w:val="0"/>
              <w:snapToGrid w:val="0"/>
              <w:spacing w:line="248" w:lineRule="auto"/>
              <w:ind w:right="0" w:firstLine="416" w:firstLineChars="200"/>
              <w:jc w:val="both"/>
              <w:textAlignment w:val="baseline"/>
              <w:rPr>
                <w:color w:val="000000" w:themeColor="text1"/>
                <w:spacing w:val="-6"/>
                <w:sz w:val="22"/>
                <w:szCs w:val="22"/>
                <w14:textFill>
                  <w14:solidFill>
                    <w14:schemeClr w14:val="tx1"/>
                  </w14:solidFill>
                </w14:textFill>
              </w:rPr>
            </w:pPr>
            <w:r>
              <w:rPr>
                <w:color w:val="000000" w:themeColor="text1"/>
                <w:spacing w:val="-6"/>
                <w:sz w:val="22"/>
                <w:szCs w:val="22"/>
                <w14:textFill>
                  <w14:solidFill>
                    <w14:schemeClr w14:val="tx1"/>
                  </w14:solidFill>
                </w14:textFill>
              </w:rPr>
              <w:t>统筹</w:t>
            </w:r>
            <w:r>
              <w:rPr>
                <w:rFonts w:hint="eastAsia"/>
                <w:color w:val="000000" w:themeColor="text1"/>
                <w:spacing w:val="-6"/>
                <w:sz w:val="22"/>
                <w:szCs w:val="22"/>
                <w:lang w:eastAsia="zh-CN"/>
                <w14:textFill>
                  <w14:solidFill>
                    <w14:schemeClr w14:val="tx1"/>
                  </w14:solidFill>
                </w14:textFill>
              </w:rPr>
              <w:t>乡镇（街道）</w:t>
            </w:r>
            <w:r>
              <w:rPr>
                <w:color w:val="000000" w:themeColor="text1"/>
                <w:spacing w:val="-6"/>
                <w:sz w:val="22"/>
                <w:szCs w:val="22"/>
                <w14:textFill>
                  <w14:solidFill>
                    <w14:schemeClr w14:val="tx1"/>
                  </w14:solidFill>
                </w14:textFill>
              </w:rPr>
              <w:t>、村(社区)网格监管力量，对本辖区内林业有害生物情况进行日常巡查；发现病虫害后，及时处理并上报林业主管部门，配合做好监测、防治等工作。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4"/>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47" w:line="219" w:lineRule="auto"/>
              <w:jc w:val="center"/>
              <w:textAlignment w:val="baseline"/>
            </w:pPr>
            <w:r>
              <w:rPr>
                <w:spacing w:val="-2"/>
              </w:rPr>
              <w:t>《森林病虫害防治条例》</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sz w:val="18"/>
                <w:szCs w:val="18"/>
              </w:rPr>
              <w:t>《突发林业有害生物事件</w:t>
            </w:r>
            <w:r>
              <w:rPr>
                <w:spacing w:val="-4"/>
                <w:sz w:val="18"/>
                <w:szCs w:val="18"/>
              </w:rPr>
              <w:t>处置办法》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县林业局</w:t>
            </w:r>
          </w:p>
        </w:tc>
        <w:tc>
          <w:tcPr>
            <w:tcW w:w="87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23"/>
        <w:gridCol w:w="1261"/>
        <w:gridCol w:w="3945"/>
        <w:gridCol w:w="3257"/>
        <w:gridCol w:w="2878"/>
        <w:gridCol w:w="649"/>
        <w:gridCol w:w="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7"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36</w:t>
            </w:r>
          </w:p>
        </w:tc>
        <w:tc>
          <w:tcPr>
            <w:tcW w:w="102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自然资源</w:t>
            </w:r>
          </w:p>
        </w:tc>
        <w:tc>
          <w:tcPr>
            <w:tcW w:w="126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rFonts w:hint="eastAsia"/>
                <w:spacing w:val="-4"/>
              </w:rPr>
              <w:t>森林火灾隐患排查和火灾扑救</w:t>
            </w:r>
          </w:p>
        </w:tc>
        <w:tc>
          <w:tcPr>
            <w:tcW w:w="39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林业、应急管理等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w:t>
            </w:r>
            <w:r>
              <w:rPr>
                <w:rFonts w:hint="eastAsia"/>
                <w:spacing w:val="-4"/>
                <w:lang w:eastAsia="zh-CN"/>
              </w:rPr>
              <w:t>乡镇（街道）</w:t>
            </w:r>
            <w:r>
              <w:rPr>
                <w:spacing w:val="-4"/>
              </w:rPr>
              <w:t>开展森林防火宣传教育、防火巡护、火源管控、督促指导落实预警响应措施、检查防火巡防情况及火情早期有效处理等工作；指导</w:t>
            </w:r>
            <w:r>
              <w:rPr>
                <w:rFonts w:hint="eastAsia"/>
                <w:spacing w:val="-4"/>
                <w:lang w:val="en-US" w:eastAsia="zh-CN"/>
              </w:rPr>
              <w:t>乡</w:t>
            </w:r>
            <w:r>
              <w:rPr>
                <w:spacing w:val="-4"/>
              </w:rPr>
              <w:t>镇对森林防火区内野外用火行为等赋权事项进行行政处罚。</w:t>
            </w:r>
          </w:p>
        </w:tc>
        <w:tc>
          <w:tcPr>
            <w:tcW w:w="325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rFonts w:hint="eastAsia"/>
                <w:spacing w:val="-4"/>
                <w:lang w:eastAsia="zh-CN"/>
              </w:rPr>
              <w:t>乡镇（街道）</w:t>
            </w:r>
            <w:r>
              <w:rPr>
                <w:spacing w:val="-4"/>
              </w:rPr>
              <w:t>根据森林火灾应急预案制定森林火灾应急处置办法；指导林区的居民委员会、村民委员会建立森林火灾群众扑救队伍；配合有关部门组织经常性的森林防火宣传活动，普及森林防火知识，做好森林火灾预防工作；统筹</w:t>
            </w:r>
            <w:r>
              <w:rPr>
                <w:rFonts w:hint="eastAsia"/>
                <w:spacing w:val="-4"/>
                <w:lang w:eastAsia="zh-CN"/>
              </w:rPr>
              <w:t>乡镇（街道）</w:t>
            </w:r>
            <w:r>
              <w:rPr>
                <w:spacing w:val="-4"/>
              </w:rPr>
              <w:t>、村(社区)网格监管力量，对辖区森林防火区进行日常巡查，发现或接到群众举报火灾隐患及时消除，加强野外用火管理，落实火险预警措施，出现火情第一时间上报有关部门，并配合做好火灾初期援救、疏散人群等工作，根据赋权事项要求做好执法和案件查处相关工作，配合做好执法相关秩序维护等工作。</w:t>
            </w:r>
          </w:p>
        </w:tc>
        <w:tc>
          <w:tcPr>
            <w:tcW w:w="287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《森林防火条例》</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both"/>
              <w:textAlignment w:val="baseline"/>
              <w:rPr>
                <w:spacing w:val="-4"/>
              </w:rPr>
            </w:pPr>
            <w:r>
              <w:rPr>
                <w:spacing w:val="-4"/>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spacing w:val="-4"/>
              </w:rPr>
            </w:pPr>
            <w:r>
              <w:rPr>
                <w:spacing w:val="-4"/>
              </w:rPr>
              <w:t>(晋政发〔2022〕22号)</w:t>
            </w:r>
          </w:p>
        </w:tc>
        <w:tc>
          <w:tcPr>
            <w:tcW w:w="64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pacing w:val="-4"/>
              </w:rPr>
            </w:pPr>
            <w:r>
              <w:rPr>
                <w:rFonts w:hint="eastAsia"/>
                <w:spacing w:val="7"/>
                <w:lang w:val="en-US" w:eastAsia="zh-CN"/>
              </w:rPr>
              <w:t>县林业局</w:t>
            </w:r>
            <w:r>
              <w:rPr>
                <w:rFonts w:hint="eastAsia" w:eastAsia="宋体"/>
                <w:color w:val="auto"/>
                <w:sz w:val="21"/>
                <w:lang w:val="en-US" w:eastAsia="zh-CN"/>
              </w:rPr>
              <w:t>等相关部门</w:t>
            </w:r>
          </w:p>
        </w:tc>
        <w:tc>
          <w:tcPr>
            <w:tcW w:w="8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pacing w:val="-4"/>
                <w:lang w:eastAsia="zh-CN"/>
              </w:rPr>
            </w:pPr>
            <w:r>
              <w:rPr>
                <w:rFonts w:hint="eastAsia"/>
                <w:spacing w:val="4"/>
                <w:sz w:val="18"/>
                <w:szCs w:val="18"/>
                <w:lang w:eastAsia="zh-CN"/>
              </w:rPr>
              <w:t>聂营镇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hint="eastAsia" w:ascii="Arial" w:eastAsia="宋体"/>
          <w:sz w:val="22"/>
          <w:szCs w:val="22"/>
          <w:lang w:eastAsia="zh-CN"/>
        </w:rPr>
      </w:pPr>
      <w:r>
        <w:rPr>
          <w:rFonts w:hint="eastAsia"/>
          <w:spacing w:val="-4"/>
          <w:lang w:eastAsia="zh-CN"/>
        </w:rPr>
        <w:br w:type="page"/>
      </w:r>
    </w:p>
    <w:tbl>
      <w:tblPr>
        <w:tblStyle w:val="6"/>
        <w:tblW w:w="14491"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06"/>
        <w:gridCol w:w="1244"/>
        <w:gridCol w:w="4004"/>
        <w:gridCol w:w="3268"/>
        <w:gridCol w:w="2692"/>
        <w:gridCol w:w="738"/>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1"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37</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2" w:line="222" w:lineRule="auto"/>
              <w:jc w:val="center"/>
              <w:textAlignment w:val="baseline"/>
              <w:rPr>
                <w:sz w:val="22"/>
                <w:szCs w:val="22"/>
              </w:rPr>
            </w:pPr>
            <w:r>
              <w:rPr>
                <w:rFonts w:hint="eastAsia"/>
                <w:sz w:val="22"/>
                <w:szCs w:val="22"/>
              </w:rPr>
              <w:t>土地山林水利权属纠纷的处理</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县级人民政府依法对本行政区域内发生的土地山林水利权属纠纷的调解、处理负总责。自然资源、林业、水行政主管部门按照各自职责分别负责对跨</w:t>
            </w:r>
            <w:r>
              <w:rPr>
                <w:rFonts w:hint="eastAsia"/>
                <w:spacing w:val="-4"/>
                <w:lang w:eastAsia="zh-CN"/>
              </w:rPr>
              <w:t>乡镇（街道）</w:t>
            </w:r>
            <w:r>
              <w:rPr>
                <w:spacing w:val="-4"/>
              </w:rPr>
              <w:t>的土地山林水利权属纠纷调解、处理的具体工作。配合协助市级部门调解处理跨县(市、区)土地山林水利权属纠纷。对本行政区域内单位与单位之间的土地山林水利权属纠纷调解、处理的具体工作。负责对</w:t>
            </w:r>
            <w:r>
              <w:rPr>
                <w:rFonts w:hint="eastAsia"/>
                <w:spacing w:val="-4"/>
                <w:lang w:eastAsia="zh-CN"/>
              </w:rPr>
              <w:t>乡镇（街道）</w:t>
            </w:r>
            <w:r>
              <w:rPr>
                <w:spacing w:val="-4"/>
              </w:rPr>
              <w:t>呈报县级人民政府申请确权的土地山林水利权属纠纷案件材料进行审核，向县级人民政府提出确权处理建议。督促指导</w:t>
            </w:r>
            <w:r>
              <w:rPr>
                <w:rFonts w:hint="eastAsia"/>
                <w:spacing w:val="-4"/>
                <w:lang w:eastAsia="zh-CN"/>
              </w:rPr>
              <w:t>乡镇（街道）</w:t>
            </w:r>
            <w:r>
              <w:rPr>
                <w:spacing w:val="-4"/>
              </w:rPr>
              <w:t>处理个人之间、个人与单位之间林木所有权和土地山林使用权的争议工作。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w:t>
            </w:r>
            <w:r>
              <w:rPr>
                <w:rFonts w:hint="eastAsia"/>
                <w:spacing w:val="-4"/>
                <w:lang w:eastAsia="zh-CN"/>
              </w:rPr>
              <w:t>乡镇（街道）</w:t>
            </w:r>
            <w:r>
              <w:rPr>
                <w:spacing w:val="-4"/>
              </w:rPr>
              <w:t>报送县级人民政府确权处理，同时指导当事人提交确权申请书及相关证据材料。</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spacing w:val="-3"/>
                <w:sz w:val="22"/>
                <w:szCs w:val="22"/>
              </w:rPr>
              <w:t>《森林法》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4"/>
                <w:sz w:val="22"/>
                <w:szCs w:val="22"/>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0"/>
                <w:szCs w:val="20"/>
              </w:rPr>
            </w:pPr>
            <w:r>
              <w:rPr>
                <w:spacing w:val="-2"/>
                <w:sz w:val="20"/>
                <w:szCs w:val="20"/>
              </w:rPr>
              <w:t>《土地权属争议调查处理</w:t>
            </w:r>
            <w:r>
              <w:rPr>
                <w:sz w:val="20"/>
                <w:szCs w:val="20"/>
              </w:rPr>
              <w:t>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0"/>
                <w:szCs w:val="20"/>
              </w:rPr>
              <w:t>《林木林地权属争议处理</w:t>
            </w:r>
            <w:r>
              <w:rPr>
                <w:sz w:val="20"/>
                <w:szCs w:val="20"/>
              </w:rPr>
              <w:t>办法》</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县自然资源局、县林业局、县水利局等相关部门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38</w:t>
            </w:r>
          </w:p>
        </w:tc>
        <w:tc>
          <w:tcPr>
            <w:tcW w:w="10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2"/>
                <w:sz w:val="22"/>
                <w:szCs w:val="22"/>
              </w:rPr>
              <w:t>自然资源</w:t>
            </w:r>
          </w:p>
        </w:tc>
        <w:tc>
          <w:tcPr>
            <w:tcW w:w="124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rFonts w:hint="eastAsia"/>
                <w:sz w:val="22"/>
                <w:szCs w:val="22"/>
              </w:rPr>
              <w:t>非法占用农用地的监管执法</w:t>
            </w:r>
          </w:p>
        </w:tc>
        <w:tc>
          <w:tcPr>
            <w:tcW w:w="400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自然资源、农业农村、林业等部门负责对辖区内非法占用农用地违法行为开展摸底排查，对破坏耕地程度进行鉴定，对发现的违法行为及时立案查处或移交有关部门依法查处。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对辖区内农用地转为建设用地问题进行全面排查，建立工作台账，及时将违法违规行为信息上报市、县级相关部门处理，协助做好执法和整改相关工作。</w:t>
            </w:r>
          </w:p>
        </w:tc>
        <w:tc>
          <w:tcPr>
            <w:tcW w:w="269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3"/>
                <w:sz w:val="22"/>
                <w:szCs w:val="22"/>
              </w:rPr>
            </w:pPr>
            <w:r>
              <w:rPr>
                <w:spacing w:val="-3"/>
                <w:sz w:val="22"/>
                <w:szCs w:val="22"/>
              </w:rPr>
              <w:t>《土地管理法》</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pacing w:val="-2"/>
                <w:sz w:val="22"/>
                <w:szCs w:val="22"/>
              </w:rPr>
            </w:pPr>
            <w:r>
              <w:rPr>
                <w:spacing w:val="-2"/>
                <w:sz w:val="22"/>
                <w:szCs w:val="22"/>
              </w:rPr>
              <w:t>《土地管理法实施条例》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《基本农田保护条例》</w:t>
            </w:r>
          </w:p>
        </w:tc>
        <w:tc>
          <w:tcPr>
            <w:tcW w:w="7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县自然资源局</w:t>
            </w:r>
            <w:r>
              <w:rPr>
                <w:rFonts w:hint="eastAsia" w:eastAsia="宋体"/>
                <w:color w:val="auto"/>
                <w:sz w:val="21"/>
                <w:lang w:val="en-US" w:eastAsia="zh-CN"/>
              </w:rPr>
              <w:t>等相关部门</w:t>
            </w:r>
          </w:p>
        </w:tc>
        <w:tc>
          <w:tcPr>
            <w:tcW w:w="9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7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057"/>
        <w:gridCol w:w="1176"/>
        <w:gridCol w:w="3967"/>
        <w:gridCol w:w="3268"/>
        <w:gridCol w:w="2471"/>
        <w:gridCol w:w="700"/>
        <w:gridCol w:w="10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4"/>
              </w:rPr>
              <w:t>39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自然资源</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 w:line="220" w:lineRule="auto"/>
              <w:jc w:val="center"/>
              <w:textAlignment w:val="baseline"/>
            </w:pPr>
            <w:r>
              <w:rPr>
                <w:rFonts w:hint="eastAsia"/>
              </w:rPr>
              <w:t>地质矿产资源开发保护、地质灾害防治</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自然资源部门负责对辖区内矿产资源的开发利用与保护进行监督管理，做好矿产资源的开发利用与保护、地质灾害预防和治理工作。</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3"/>
              </w:rPr>
              <w:t>《矿产资源法》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2"/>
              </w:rPr>
              <w:t>《地质灾害防治条例》</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县自然资源局</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9" w:hRule="atLeast"/>
        </w:trPr>
        <w:tc>
          <w:tcPr>
            <w:tcW w:w="61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1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3" w:line="219" w:lineRule="auto"/>
              <w:jc w:val="center"/>
              <w:textAlignment w:val="baseline"/>
            </w:pPr>
            <w:r>
              <w:rPr>
                <w:rFonts w:hint="eastAsia"/>
              </w:rPr>
              <w:t>对农产品质量安全的监管执法</w:t>
            </w:r>
          </w:p>
        </w:tc>
        <w:tc>
          <w:tcPr>
            <w:tcW w:w="39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w:t>
            </w:r>
            <w:r>
              <w:rPr>
                <w:rFonts w:hint="eastAsia"/>
                <w:spacing w:val="-4"/>
                <w:lang w:eastAsia="zh-CN"/>
              </w:rPr>
              <w:t>乡镇（街道）</w:t>
            </w:r>
            <w:r>
              <w:rPr>
                <w:spacing w:val="-4"/>
              </w:rPr>
              <w:t>对销售的农产品未按照规定进行包装、标识，对农产品生产企业、农民专业合作经济组织未建立或者未按照规定保存农产品生产记录，或者伪造农产品生产记录的行为等赋权事项进行行政处罚。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协助上级人民政府及其有关部门做好农产品质量安全监督管理工作，落实农产品质量安全网格化管理职责，组织开展农产品质量安全培训宣传、日常巡查、抽查检测和技术指导服务等工作。统筹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4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《农产品质量安全法》</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rPr>
                <w:spacing w:val="-11"/>
                <w:sz w:val="21"/>
                <w:szCs w:val="21"/>
              </w:rPr>
            </w:pPr>
            <w:r>
              <w:rPr>
                <w:spacing w:val="-13"/>
                <w:sz w:val="21"/>
                <w:szCs w:val="21"/>
              </w:rPr>
              <w:t>《山西省人民政府关于向乡</w:t>
            </w:r>
            <w:r>
              <w:rPr>
                <w:spacing w:val="-5"/>
                <w:sz w:val="21"/>
                <w:szCs w:val="21"/>
              </w:rPr>
              <w:t>镇人民政府和办事处下</w:t>
            </w:r>
            <w:r>
              <w:rPr>
                <w:spacing w:val="-11"/>
                <w:sz w:val="21"/>
                <w:szCs w:val="2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6" w:line="231" w:lineRule="auto"/>
              <w:jc w:val="center"/>
              <w:textAlignment w:val="baseline"/>
            </w:pPr>
            <w:r>
              <w:rPr>
                <w:spacing w:val="3"/>
              </w:rPr>
              <w:t>(晋政发〔2022〕22号)</w:t>
            </w:r>
          </w:p>
        </w:tc>
        <w:tc>
          <w:tcPr>
            <w:tcW w:w="7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102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6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7"/>
        <w:gridCol w:w="1091"/>
        <w:gridCol w:w="1091"/>
        <w:gridCol w:w="4124"/>
        <w:gridCol w:w="3258"/>
        <w:gridCol w:w="285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5"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4" w:lineRule="auto"/>
              <w:jc w:val="center"/>
              <w:textAlignment w:val="baseline"/>
            </w:pPr>
            <w:r>
              <w:rPr>
                <w:spacing w:val="-3"/>
              </w:rPr>
              <w:t>41</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5" w:lineRule="auto"/>
              <w:jc w:val="center"/>
              <w:textAlignment w:val="baseline"/>
            </w:pPr>
            <w:r>
              <w:rPr>
                <w:rFonts w:hint="eastAsia"/>
              </w:rPr>
              <w:t>农业机械推广、服务和安全监管执法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引导和扶持辖区内农业机械服务组织的发展，配合做好农业机械推广和服务工作、安全监督管理，发现违法违规行为，应及时上报有关部门，并协助做好相关工作。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80"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08" w:lineRule="auto"/>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jc w:val="center"/>
              <w:textAlignment w:val="baseline"/>
            </w:pPr>
            <w:r>
              <w:rPr>
                <w:spacing w:val="-2"/>
              </w:rPr>
              <w:t>《农业机械化促进法》</w:t>
            </w:r>
          </w:p>
          <w:p>
            <w:pPr>
              <w:pStyle w:val="7"/>
              <w:keepNext w:val="0"/>
              <w:keepLines w:val="0"/>
              <w:pageBreakBefore w:val="0"/>
              <w:widowControl/>
              <w:kinsoku w:val="0"/>
              <w:wordWrap/>
              <w:overflowPunct w:val="0"/>
              <w:topLinePunct/>
              <w:autoSpaceDE w:val="0"/>
              <w:autoSpaceDN w:val="0"/>
              <w:bidi w:val="0"/>
              <w:adjustRightInd w:val="0"/>
              <w:snapToGrid w:val="0"/>
              <w:spacing w:before="57" w:line="201" w:lineRule="auto"/>
              <w:jc w:val="center"/>
              <w:textAlignment w:val="baseline"/>
            </w:pPr>
            <w:r>
              <w:rPr>
                <w:spacing w:val="-2"/>
              </w:rPr>
              <w:t>《</w:t>
            </w:r>
            <w:r>
              <w:rPr>
                <w:spacing w:val="-2"/>
                <w:sz w:val="21"/>
                <w:szCs w:val="21"/>
              </w:rPr>
              <w:t>农业机械安全监督管理</w:t>
            </w:r>
            <w:r>
              <w:rPr>
                <w:spacing w:val="-5"/>
                <w:sz w:val="21"/>
                <w:szCs w:val="21"/>
              </w:rPr>
              <w:t>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0" w:hRule="atLeast"/>
        </w:trPr>
        <w:tc>
          <w:tcPr>
            <w:tcW w:w="59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pPr>
            <w:r>
              <w:rPr>
                <w:spacing w:val="-3"/>
              </w:rPr>
              <w:t>42</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农业农村</w:t>
            </w:r>
          </w:p>
        </w:tc>
        <w:tc>
          <w:tcPr>
            <w:tcW w:w="109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8" w:lineRule="auto"/>
              <w:ind w:right="51"/>
              <w:jc w:val="center"/>
              <w:textAlignment w:val="baseline"/>
            </w:pPr>
            <w:r>
              <w:rPr>
                <w:rFonts w:hint="eastAsia"/>
              </w:rPr>
              <w:t>对农作物种子生产经营的监管执法</w:t>
            </w:r>
          </w:p>
        </w:tc>
        <w:tc>
          <w:tcPr>
            <w:tcW w:w="412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w:t>
            </w:r>
            <w:r>
              <w:rPr>
                <w:rFonts w:hint="eastAsia"/>
                <w:spacing w:val="-4"/>
                <w:lang w:eastAsia="zh-CN"/>
              </w:rPr>
              <w:t>乡镇（街道）</w:t>
            </w:r>
            <w:r>
              <w:rPr>
                <w:spacing w:val="-4"/>
              </w:rPr>
              <w:t>对销售种子应当包装而没有包装、未经批准私自采集或者采伐国家重点保护的天然种质资源等赋权事项进行行政处罚。</w:t>
            </w:r>
          </w:p>
        </w:tc>
        <w:tc>
          <w:tcPr>
            <w:tcW w:w="325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、村(社区)网格监管力量，日常巡查发现问题及时上报有关部门，根据赋权事项要求做好执法和案件查处相关工作，配合做好执法相关秩序维护等工作。</w:t>
            </w:r>
          </w:p>
        </w:tc>
        <w:tc>
          <w:tcPr>
            <w:tcW w:w="2858" w:type="dxa"/>
            <w:vAlign w:val="center"/>
          </w:tcPr>
          <w:p>
            <w:pPr>
              <w:keepNext w:val="0"/>
              <w:keepLines w:val="0"/>
              <w:pageBreakBefore w:val="0"/>
              <w:widowControl/>
              <w:kinsoku w:val="0"/>
              <w:wordWrap/>
              <w:overflowPunct w:val="0"/>
              <w:topLinePunct/>
              <w:autoSpaceDE w:val="0"/>
              <w:autoSpaceDN w:val="0"/>
              <w:bidi w:val="0"/>
              <w:adjustRightInd w:val="0"/>
              <w:snapToGrid w:val="0"/>
              <w:spacing w:line="254" w:lineRule="auto"/>
              <w:jc w:val="both"/>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4" w:line="216" w:lineRule="auto"/>
              <w:jc w:val="center"/>
              <w:textAlignment w:val="baseline"/>
            </w:pPr>
            <w:r>
              <w:rPr>
                <w:spacing w:val="-4"/>
              </w:rPr>
              <w:t>《种子法》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2"/>
              </w:rPr>
              <w:t>《农作物种子生产经营许</w:t>
            </w:r>
            <w:r>
              <w:t>可管理办法》</w:t>
            </w:r>
          </w:p>
          <w:p>
            <w:pPr>
              <w:pStyle w:val="7"/>
              <w:keepNext w:val="0"/>
              <w:keepLines w:val="0"/>
              <w:pageBreakBefore w:val="0"/>
              <w:widowControl/>
              <w:kinsoku w:val="0"/>
              <w:wordWrap/>
              <w:overflowPunct w:val="0"/>
              <w:topLinePunct/>
              <w:autoSpaceDE w:val="0"/>
              <w:autoSpaceDN w:val="0"/>
              <w:bidi w:val="0"/>
              <w:adjustRightInd w:val="0"/>
              <w:snapToGrid w:val="0"/>
              <w:spacing w:before="55"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47"/>
              <w:jc w:val="center"/>
              <w:textAlignment w:val="baseline"/>
            </w:pPr>
            <w:r>
              <w:rPr>
                <w:spacing w:val="1"/>
              </w:rPr>
              <w:t>镇人民政府和办事处下</w:t>
            </w:r>
            <w:r>
              <w:rPr>
                <w:spacing w:val="-13"/>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8"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553"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1057"/>
        <w:gridCol w:w="1108"/>
        <w:gridCol w:w="4012"/>
        <w:gridCol w:w="3268"/>
        <w:gridCol w:w="2868"/>
        <w:gridCol w:w="659"/>
        <w:gridCol w:w="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3"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43</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6" w:lineRule="auto"/>
              <w:ind w:right="50"/>
              <w:jc w:val="center"/>
              <w:textAlignment w:val="baseline"/>
            </w:pPr>
            <w:r>
              <w:rPr>
                <w:spacing w:val="3"/>
              </w:rPr>
              <w:t>病死动物的</w:t>
            </w:r>
            <w:r>
              <w:rPr>
                <w:spacing w:val="-2"/>
              </w:rPr>
              <w:t>无害化管理</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县级人民政府农业农村主管部门负责本行政区域病死畜禽和病害畜禽产品无害化处理的监督管理工作，对符合省级集中无害化处理场所建设规划的病死畜禽无害化处理场进行审查，并颁发动物防疫条件合格证。指导</w:t>
            </w:r>
            <w:r>
              <w:rPr>
                <w:rFonts w:hint="eastAsia"/>
                <w:spacing w:val="-4"/>
                <w:lang w:eastAsia="zh-CN"/>
              </w:rPr>
              <w:t>乡镇（街道）</w:t>
            </w:r>
            <w:r>
              <w:rPr>
                <w:spacing w:val="-4"/>
              </w:rPr>
              <w:t>对未按照规定处理或者随意弃置病死动物、病害动物产品等赋权事项进行行政处罚。县级财政部门对病死动物无害化处理提供补助。</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t>《病死畜禽和病害畜禽产品无害化处理管理办法》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rPr>
                <w:spacing w:val="-12"/>
              </w:rPr>
            </w:pPr>
            <w:r>
              <w:t>《</w:t>
            </w:r>
            <w:r>
              <w:rPr>
                <w:spacing w:val="-12"/>
              </w:rPr>
              <w:t>动物防疫条件审查办法》</w:t>
            </w:r>
          </w:p>
          <w:p>
            <w:pPr>
              <w:pStyle w:val="7"/>
              <w:keepNext w:val="0"/>
              <w:keepLines w:val="0"/>
              <w:pageBreakBefore w:val="0"/>
              <w:widowControl/>
              <w:kinsoku w:val="0"/>
              <w:wordWrap/>
              <w:overflowPunct w:val="0"/>
              <w:topLinePunct/>
              <w:autoSpaceDE w:val="0"/>
              <w:autoSpaceDN w:val="0"/>
              <w:bidi w:val="0"/>
              <w:adjustRightInd w:val="0"/>
              <w:snapToGrid w:val="0"/>
              <w:spacing w:before="2" w:line="235" w:lineRule="auto"/>
              <w:jc w:val="center"/>
              <w:textAlignment w:val="baseline"/>
            </w:pPr>
            <w:r>
              <w:rPr>
                <w:spacing w:val="-4"/>
              </w:rPr>
              <w:t>《山西省人民政府关于向乡</w:t>
            </w:r>
            <w:r>
              <w:rPr>
                <w:spacing w:val="-7"/>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2" w:hRule="atLeast"/>
        </w:trPr>
        <w:tc>
          <w:tcPr>
            <w:tcW w:w="6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pPr>
            <w:r>
              <w:rPr>
                <w:spacing w:val="-3"/>
              </w:rPr>
              <w:t>44</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农业农村</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8" w:lineRule="auto"/>
              <w:ind w:right="50"/>
              <w:jc w:val="center"/>
              <w:textAlignment w:val="baseline"/>
            </w:pPr>
            <w:r>
              <w:rPr>
                <w:spacing w:val="3"/>
              </w:rPr>
              <w:t>对畜禽屠宰</w:t>
            </w:r>
            <w:r>
              <w:rPr>
                <w:spacing w:val="1"/>
              </w:rPr>
              <w:t>的监管执法</w:t>
            </w:r>
          </w:p>
        </w:tc>
        <w:tc>
          <w:tcPr>
            <w:tcW w:w="4012"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农业农村部门负责辖区内畜禽屠宰活动的监督管理。负责对辖区内发生违反畜禽屠宰法律法规行为问题、线索进行核实，发现涉嫌违法的按程序进行调查核实后依法查处。指导</w:t>
            </w:r>
            <w:r>
              <w:rPr>
                <w:rFonts w:hint="eastAsia"/>
                <w:spacing w:val="-4"/>
                <w:lang w:eastAsia="zh-CN"/>
              </w:rPr>
              <w:t>乡镇（街道）</w:t>
            </w:r>
            <w:r>
              <w:rPr>
                <w:spacing w:val="-4"/>
              </w:rPr>
              <w:t>对开办动物屠宰加工场所未取得动物防疫条件合格证等赋权事项进行行政处罚。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adjustRightInd w:val="0"/>
              <w:snapToGrid w:val="0"/>
              <w:spacing w:line="219" w:lineRule="auto"/>
              <w:ind w:firstLine="444" w:firstLineChars="200"/>
              <w:jc w:val="both"/>
              <w:textAlignment w:val="baseline"/>
              <w:rPr>
                <w:spacing w:val="-4"/>
              </w:rPr>
            </w:pPr>
            <w:r>
              <w:rPr>
                <w:spacing w:val="-4"/>
              </w:rPr>
              <w:t>加强畜禽定点屠宰的宣传教育，协助做好畜禽屠宰监督管理工作。统筹</w:t>
            </w:r>
            <w:r>
              <w:rPr>
                <w:rFonts w:hint="eastAsia"/>
                <w:spacing w:val="-4"/>
                <w:lang w:eastAsia="zh-CN"/>
              </w:rPr>
              <w:t>乡镇（街道）</w:t>
            </w:r>
            <w:r>
              <w:rPr>
                <w:spacing w:val="-4"/>
              </w:rPr>
              <w:t>、村(社区)网格监管力量，日常巡查发现问题及时上报农业农村部门根据赋权事项要求做好执法和案件查处相关工作，配合做好执法相关秩序维护等工作。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8" w:line="319" w:lineRule="exact"/>
              <w:jc w:val="center"/>
              <w:textAlignment w:val="baseline"/>
            </w:pPr>
            <w:r>
              <w:rPr>
                <w:spacing w:val="-3"/>
                <w:position w:val="6"/>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pPr>
            <w:r>
              <w:rPr>
                <w:spacing w:val="-4"/>
              </w:rPr>
              <w:t>《畜牧法》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pPr>
            <w:r>
              <w:rPr>
                <w:spacing w:val="-2"/>
              </w:rPr>
              <w:t>《生猪屠宰管理条例》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both"/>
              <w:textAlignment w:val="baseline"/>
            </w:pPr>
            <w:r>
              <w:rPr>
                <w:spacing w:val="1"/>
              </w:rPr>
              <w:t>镇人民政府和办事处下</w:t>
            </w:r>
            <w:r>
              <w:rPr>
                <w:spacing w:val="-1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27" w:line="220" w:lineRule="auto"/>
              <w:ind w:left="277"/>
              <w:jc w:val="center"/>
              <w:textAlignment w:val="baseline"/>
            </w:pPr>
            <w:r>
              <w:rPr>
                <w:spacing w:val="3"/>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pPr>
            <w:r>
              <w:rPr>
                <w:rFonts w:hint="eastAsia"/>
                <w:spacing w:val="7"/>
                <w:lang w:val="en-US" w:eastAsia="zh-CN"/>
              </w:rPr>
              <w:t>县农业农村局等</w:t>
            </w:r>
            <w:r>
              <w:rPr>
                <w:rFonts w:hint="eastAsia" w:eastAsia="宋体"/>
                <w:color w:val="auto"/>
                <w:sz w:val="21"/>
                <w:lang w:val="en-US" w:eastAsia="zh-CN"/>
              </w:rPr>
              <w:t>相关部门</w:t>
            </w:r>
          </w:p>
        </w:tc>
        <w:tc>
          <w:tcPr>
            <w:tcW w:w="9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62"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057"/>
        <w:gridCol w:w="1040"/>
        <w:gridCol w:w="4089"/>
        <w:gridCol w:w="3278"/>
        <w:gridCol w:w="2648"/>
        <w:gridCol w:w="638"/>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5"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45</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rFonts w:hint="eastAsia"/>
                <w:sz w:val="22"/>
                <w:szCs w:val="22"/>
              </w:rPr>
              <w:t>动物和动物产品疫病防疫检疫</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7"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spacing w:val="-2"/>
                <w:sz w:val="22"/>
                <w:szCs w:val="22"/>
              </w:rPr>
              <w:t>《动物检疫管理办法》</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r>
              <w:rPr>
                <w:rFonts w:hint="eastAsia" w:eastAsia="宋体"/>
                <w:color w:val="auto"/>
                <w:sz w:val="21"/>
                <w:lang w:val="en-US" w:eastAsia="zh-CN"/>
              </w:rPr>
              <w:t>等相关部门</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46</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6" w:lineRule="auto"/>
              <w:ind w:right="76"/>
              <w:jc w:val="center"/>
              <w:textAlignment w:val="baseline"/>
              <w:rPr>
                <w:sz w:val="22"/>
                <w:szCs w:val="22"/>
              </w:rPr>
            </w:pPr>
            <w:r>
              <w:rPr>
                <w:rFonts w:hint="eastAsia"/>
                <w:sz w:val="22"/>
                <w:szCs w:val="22"/>
              </w:rPr>
              <w:t>重大动物疫情应急处置</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重大动物疫情发生后，农业农村部门应当及时划定疫点、疫区、受威胁区，及时提出疫情处置方案，加强疫情监测、流行病学调查、疫源追踪工作，对染疫和疑似染疫动物及其同群动物和其他易感染动物的扑杀、销毁进行技术指导，并组织实施检验检疫、消毒、无害化处理和紧急免疫接种等。</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组织力量向村民、居民宣传动物疫病防治的相关知识，协助做好疫情信息的收集、报告和各项应急处理措施的落实工作。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rPr>
                <w:sz w:val="22"/>
                <w:szCs w:val="22"/>
              </w:rPr>
            </w:pPr>
            <w:r>
              <w:rPr>
                <w:spacing w:val="-3"/>
                <w:sz w:val="22"/>
                <w:szCs w:val="22"/>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7" w:line="219" w:lineRule="auto"/>
              <w:jc w:val="center"/>
              <w:textAlignment w:val="baseline"/>
              <w:rPr>
                <w:sz w:val="22"/>
                <w:szCs w:val="22"/>
              </w:rPr>
            </w:pPr>
            <w:r>
              <w:rPr>
                <w:spacing w:val="-2"/>
                <w:sz w:val="22"/>
                <w:szCs w:val="22"/>
              </w:rPr>
              <w:t>《重大动物疫情应急条例》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7" w:hRule="atLeast"/>
        </w:trPr>
        <w:tc>
          <w:tcPr>
            <w:tcW w:w="71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农业农村</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3" w:line="224" w:lineRule="auto"/>
              <w:jc w:val="center"/>
              <w:textAlignment w:val="baseline"/>
              <w:rPr>
                <w:sz w:val="22"/>
                <w:szCs w:val="22"/>
              </w:rPr>
            </w:pPr>
            <w:r>
              <w:rPr>
                <w:rFonts w:hint="eastAsia"/>
                <w:sz w:val="22"/>
                <w:szCs w:val="22"/>
              </w:rPr>
              <w:t>农作物病虫害监测与防治</w:t>
            </w:r>
          </w:p>
        </w:tc>
        <w:tc>
          <w:tcPr>
            <w:tcW w:w="408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农业农村部门负责本行政区域农作物病虫害防治监督管理工作，对突发性的重大病虫害制定工作预案和防治措施，组织开展农作物有害生物防治工作。</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《农作物病虫害防治条例》</w:t>
            </w:r>
          </w:p>
        </w:tc>
        <w:tc>
          <w:tcPr>
            <w:tcW w:w="63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64"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1057"/>
        <w:gridCol w:w="972"/>
        <w:gridCol w:w="4054"/>
        <w:gridCol w:w="3268"/>
        <w:gridCol w:w="2868"/>
        <w:gridCol w:w="659"/>
        <w:gridCol w:w="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4"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2"/>
                <w:sz w:val="22"/>
                <w:szCs w:val="22"/>
              </w:rPr>
              <w:t>48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1" w:line="219" w:lineRule="auto"/>
              <w:jc w:val="center"/>
              <w:textAlignment w:val="baseline"/>
              <w:rPr>
                <w:sz w:val="22"/>
                <w:szCs w:val="22"/>
              </w:rPr>
            </w:pPr>
            <w:r>
              <w:rPr>
                <w:rFonts w:hint="eastAsia"/>
                <w:sz w:val="22"/>
                <w:szCs w:val="22"/>
              </w:rPr>
              <w:t>对农药、肥料、兽药、饲料和饲料添加剂等的监管执法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w:t>
            </w:r>
            <w:r>
              <w:rPr>
                <w:rFonts w:hint="eastAsia"/>
                <w:spacing w:val="-4"/>
                <w:lang w:eastAsia="zh-CN"/>
              </w:rPr>
              <w:t>乡镇（街道）</w:t>
            </w:r>
            <w:r>
              <w:rPr>
                <w:spacing w:val="-4"/>
              </w:rPr>
              <w:t>对农药经营者未取得农药经营许可证经营农药，生产、销售未取得登记证的肥料产品等赋权事项进行行政处罚。</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协助农业农村等部门开展农药、肥料、兽药、饲料和饲料添加剂等的日常监管工作，发现违法违规行为，根据赋权事项要求做好执法和案件查处相关工作，配合做好执法相关秩序维护等工作。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366"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6"/>
              <w:textAlignment w:val="baseline"/>
              <w:rPr>
                <w:sz w:val="22"/>
                <w:szCs w:val="22"/>
              </w:rPr>
            </w:pPr>
            <w:r>
              <w:rPr>
                <w:spacing w:val="-2"/>
                <w:sz w:val="22"/>
                <w:szCs w:val="22"/>
              </w:rPr>
              <w:t>《农药管理条例》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36" w:lineRule="auto"/>
              <w:ind w:left="545" w:right="349" w:hanging="219"/>
              <w:jc w:val="both"/>
              <w:textAlignment w:val="baseline"/>
              <w:rPr>
                <w:sz w:val="22"/>
                <w:szCs w:val="22"/>
              </w:rPr>
            </w:pPr>
            <w:r>
              <w:rPr>
                <w:spacing w:val="-2"/>
                <w:sz w:val="22"/>
                <w:szCs w:val="22"/>
              </w:rPr>
              <w:t>《肥料登记管理办法》《兽药管理条例》</w:t>
            </w:r>
          </w:p>
          <w:p>
            <w:pPr>
              <w:pStyle w:val="7"/>
              <w:keepNext w:val="0"/>
              <w:keepLines w:val="0"/>
              <w:pageBreakBefore w:val="0"/>
              <w:widowControl/>
              <w:kinsoku w:val="0"/>
              <w:wordWrap/>
              <w:overflowPunct w:val="0"/>
              <w:topLinePunct/>
              <w:autoSpaceDE w:val="0"/>
              <w:autoSpaceDN w:val="0"/>
              <w:bidi w:val="0"/>
              <w:adjustRightInd w:val="0"/>
              <w:snapToGrid w:val="0"/>
              <w:ind w:left="0" w:right="0" w:firstLine="0"/>
              <w:textAlignment w:val="baseline"/>
              <w:rPr>
                <w:sz w:val="21"/>
                <w:szCs w:val="21"/>
              </w:rPr>
            </w:pPr>
            <w:r>
              <w:rPr>
                <w:spacing w:val="-2"/>
                <w:sz w:val="21"/>
                <w:szCs w:val="21"/>
              </w:rPr>
              <w:t>《饲料和饲料添加剂管理</w:t>
            </w:r>
            <w:r>
              <w:rPr>
                <w:spacing w:val="-5"/>
                <w:sz w:val="21"/>
                <w:szCs w:val="21"/>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6"/>
              <w:textAlignment w:val="baseline"/>
              <w:rPr>
                <w:sz w:val="22"/>
                <w:szCs w:val="22"/>
              </w:rPr>
            </w:pPr>
            <w:r>
              <w:rPr>
                <w:spacing w:val="-1"/>
                <w:sz w:val="22"/>
                <w:szCs w:val="2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ind w:left="106"/>
              <w:textAlignment w:val="baseline"/>
              <w:rPr>
                <w:sz w:val="22"/>
                <w:szCs w:val="22"/>
              </w:rPr>
            </w:pPr>
            <w:r>
              <w:rPr>
                <w:spacing w:val="1"/>
                <w:sz w:val="22"/>
                <w:szCs w:val="22"/>
              </w:rPr>
              <w:t>镇人民政府和办事处下</w:t>
            </w:r>
          </w:p>
          <w:p>
            <w:pPr>
              <w:pStyle w:val="7"/>
              <w:keepNext w:val="0"/>
              <w:keepLines w:val="0"/>
              <w:pageBreakBefore w:val="0"/>
              <w:widowControl/>
              <w:kinsoku w:val="0"/>
              <w:wordWrap/>
              <w:overflowPunct w:val="0"/>
              <w:topLinePunct/>
              <w:autoSpaceDE w:val="0"/>
              <w:autoSpaceDN w:val="0"/>
              <w:bidi w:val="0"/>
              <w:adjustRightInd w:val="0"/>
              <w:snapToGrid w:val="0"/>
              <w:spacing w:before="60" w:line="219" w:lineRule="auto"/>
              <w:jc w:val="right"/>
              <w:textAlignment w:val="baseline"/>
              <w:rPr>
                <w:sz w:val="22"/>
                <w:szCs w:val="22"/>
              </w:rPr>
            </w:pP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10" w:line="220" w:lineRule="auto"/>
              <w:ind w:left="326"/>
              <w:textAlignment w:val="baseline"/>
              <w:rPr>
                <w:sz w:val="22"/>
                <w:szCs w:val="22"/>
              </w:rPr>
            </w:pPr>
            <w:r>
              <w:rPr>
                <w:spacing w:val="3"/>
                <w:sz w:val="22"/>
                <w:szCs w:val="22"/>
              </w:rPr>
              <w:t>(晋政发〔2022〕22号)</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县农业农村局等</w:t>
            </w:r>
            <w:r>
              <w:rPr>
                <w:rFonts w:hint="eastAsia" w:eastAsia="宋体"/>
                <w:color w:val="auto"/>
                <w:sz w:val="21"/>
                <w:lang w:val="en-US" w:eastAsia="zh-CN"/>
              </w:rPr>
              <w:t>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sz w:val="22"/>
                <w:szCs w:val="22"/>
              </w:rPr>
            </w:pPr>
            <w:r>
              <w:rPr>
                <w:spacing w:val="-2"/>
                <w:sz w:val="22"/>
                <w:szCs w:val="22"/>
              </w:rPr>
              <w:t>49</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农业农村</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对渔业安全生产的监督管理</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农业农村部门负责对渔业安全生产进行监督管理，定期组织开展渔业安全隐患排查治理。</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配合农业农村部门开展辖区内渔业安全管理工作，定期开展日常巡查并做好记录，对巡查发现的问题及时上报，配合农业农村部门做好相关工作，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439"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41" w:lineRule="auto"/>
              <w:ind w:left="656"/>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5" w:lineRule="auto"/>
              <w:ind w:left="876"/>
              <w:textAlignment w:val="baseline"/>
              <w:rPr>
                <w:sz w:val="22"/>
                <w:szCs w:val="22"/>
              </w:rPr>
            </w:pPr>
            <w:r>
              <w:rPr>
                <w:spacing w:val="-3"/>
                <w:sz w:val="22"/>
                <w:szCs w:val="22"/>
              </w:rPr>
              <w:t>《渔业法》</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sz w:val="22"/>
                <w:szCs w:val="22"/>
              </w:rPr>
            </w:pPr>
            <w:r>
              <w:rPr>
                <w:rFonts w:hint="eastAsia"/>
                <w:spacing w:val="7"/>
                <w:lang w:val="en-US" w:eastAsia="zh-CN"/>
              </w:rPr>
              <w:t>县农业农村局</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1" w:hRule="atLeast"/>
        </w:trPr>
        <w:tc>
          <w:tcPr>
            <w:tcW w:w="69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sz w:val="22"/>
                <w:szCs w:val="22"/>
              </w:rPr>
            </w:pPr>
            <w:r>
              <w:rPr>
                <w:spacing w:val="-4"/>
                <w:sz w:val="22"/>
                <w:szCs w:val="22"/>
              </w:rPr>
              <w:t>50</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城乡建设</w:t>
            </w:r>
          </w:p>
        </w:tc>
        <w:tc>
          <w:tcPr>
            <w:tcW w:w="97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jc w:val="center"/>
              <w:textAlignment w:val="baseline"/>
              <w:rPr>
                <w:sz w:val="22"/>
                <w:szCs w:val="22"/>
              </w:rPr>
            </w:pPr>
            <w:r>
              <w:rPr>
                <w:rFonts w:hint="eastAsia"/>
                <w:sz w:val="22"/>
                <w:szCs w:val="22"/>
              </w:rPr>
              <w:t>对违规使用和售卖燃气行为的监管执法</w:t>
            </w:r>
          </w:p>
        </w:tc>
        <w:tc>
          <w:tcPr>
            <w:tcW w:w="405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、村(社区)网格监管力量，日常巡查发现问题及时上报有关部门，并协助做好相关工作。</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9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92"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216"/>
              <w:textAlignment w:val="baseline"/>
              <w:rPr>
                <w:sz w:val="22"/>
                <w:szCs w:val="22"/>
              </w:rPr>
            </w:pPr>
            <w:r>
              <w:rPr>
                <w:spacing w:val="-2"/>
                <w:sz w:val="22"/>
                <w:szCs w:val="22"/>
              </w:rPr>
              <w:t>《山西省燃气管理条例》</w:t>
            </w:r>
          </w:p>
        </w:tc>
        <w:tc>
          <w:tcPr>
            <w:tcW w:w="65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sz w:val="22"/>
                <w:szCs w:val="22"/>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sz w:val="22"/>
                <w:szCs w:val="22"/>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301" w:type="dxa"/>
        <w:tblInd w:w="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108"/>
        <w:gridCol w:w="4039"/>
        <w:gridCol w:w="3268"/>
        <w:gridCol w:w="2595"/>
        <w:gridCol w:w="687"/>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5" w:hRule="atLeast"/>
        </w:trPr>
        <w:tc>
          <w:tcPr>
            <w:tcW w:w="681"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184" w:lineRule="auto"/>
              <w:jc w:val="center"/>
              <w:textAlignment w:val="baseline"/>
            </w:pPr>
            <w:r>
              <w:rPr>
                <w:spacing w:val="-4"/>
              </w:rPr>
              <w:t>51</w:t>
            </w:r>
          </w:p>
        </w:tc>
        <w:tc>
          <w:tcPr>
            <w:tcW w:w="1023"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18" w:line="219" w:lineRule="auto"/>
              <w:jc w:val="center"/>
              <w:textAlignment w:val="baseline"/>
            </w:pPr>
            <w:r>
              <w:rPr>
                <w:rFonts w:hint="eastAsia"/>
              </w:rPr>
              <w:t>对违规使用和售卖流动瓶装液化气行为的监管执法</w:t>
            </w:r>
          </w:p>
        </w:tc>
        <w:tc>
          <w:tcPr>
            <w:tcW w:w="403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对辖区流动瓶装液化气使用和售卖情况开展定期巡查并做好记录，发现使用环节存在安全隐患或违规销售、倒卖液化气的及时劝告制止，并上报有关部门处理。</w:t>
            </w:r>
          </w:p>
        </w:tc>
        <w:tc>
          <w:tcPr>
            <w:tcW w:w="2595" w:type="dxa"/>
            <w:vAlign w:val="center"/>
          </w:tcPr>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keepNext w:val="0"/>
              <w:keepLines w:val="0"/>
              <w:pageBreakBefore w:val="0"/>
              <w:widowControl/>
              <w:kinsoku/>
              <w:wordWrap/>
              <w:overflowPunct w:val="0"/>
              <w:topLinePunct/>
              <w:autoSpaceDE w:val="0"/>
              <w:autoSpaceDN w:val="0"/>
              <w:bidi w:val="0"/>
              <w:adjustRightInd w:val="0"/>
              <w:snapToGrid w:val="0"/>
              <w:spacing w:line="257" w:lineRule="auto"/>
              <w:jc w:val="center"/>
              <w:textAlignment w:val="baseline"/>
              <w:rPr>
                <w:rFonts w:ascii="Arial"/>
                <w:sz w:val="21"/>
              </w:rPr>
            </w:pPr>
          </w:p>
          <w:p>
            <w:pPr>
              <w:pStyle w:val="7"/>
              <w:keepNext w:val="0"/>
              <w:keepLines w:val="0"/>
              <w:pageBreakBefore w:val="0"/>
              <w:widowControl/>
              <w:kinsoku/>
              <w:wordWrap/>
              <w:overflowPunct w:val="0"/>
              <w:topLinePunct/>
              <w:autoSpaceDE w:val="0"/>
              <w:autoSpaceDN w:val="0"/>
              <w:bidi w:val="0"/>
              <w:adjustRightInd w:val="0"/>
              <w:snapToGrid w:val="0"/>
              <w:spacing w:before="74" w:line="219" w:lineRule="auto"/>
              <w:jc w:val="center"/>
              <w:textAlignment w:val="baseline"/>
            </w:pPr>
            <w:r>
              <w:rPr>
                <w:spacing w:val="-2"/>
              </w:rPr>
              <w:t>《治安管理处罚法》</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《住房和城乡建设部等部</w:t>
            </w:r>
            <w:r>
              <w:rPr>
                <w:spacing w:val="2"/>
              </w:rPr>
              <w:t>门关于加强瓶装液化石油</w:t>
            </w:r>
            <w:r>
              <w:rPr>
                <w:spacing w:val="-2"/>
              </w:rPr>
              <w:t>气安全管理的指导意见》</w:t>
            </w:r>
          </w:p>
          <w:p>
            <w:pPr>
              <w:pStyle w:val="7"/>
              <w:keepNext w:val="0"/>
              <w:keepLines w:val="0"/>
              <w:pageBreakBefore w:val="0"/>
              <w:widowControl/>
              <w:kinsoku/>
              <w:wordWrap/>
              <w:overflowPunct w:val="0"/>
              <w:topLinePunct/>
              <w:autoSpaceDE w:val="0"/>
              <w:autoSpaceDN w:val="0"/>
              <w:bidi w:val="0"/>
              <w:adjustRightInd w:val="0"/>
              <w:snapToGrid w:val="0"/>
              <w:spacing w:line="219" w:lineRule="auto"/>
              <w:jc w:val="center"/>
              <w:textAlignment w:val="baseline"/>
            </w:pPr>
            <w:r>
              <w:rPr>
                <w:spacing w:val="3"/>
              </w:rPr>
              <w:t>(建城〔2021〕23号)</w:t>
            </w:r>
          </w:p>
          <w:p>
            <w:pPr>
              <w:pStyle w:val="7"/>
              <w:keepNext w:val="0"/>
              <w:keepLines w:val="0"/>
              <w:pageBreakBefore w:val="0"/>
              <w:widowControl/>
              <w:kinsoku/>
              <w:wordWrap/>
              <w:overflowPunct w:val="0"/>
              <w:topLinePunct/>
              <w:autoSpaceDE w:val="0"/>
              <w:autoSpaceDN w:val="0"/>
              <w:bidi w:val="0"/>
              <w:adjustRightInd w:val="0"/>
              <w:snapToGrid w:val="0"/>
              <w:spacing w:before="47" w:line="219" w:lineRule="auto"/>
              <w:jc w:val="center"/>
              <w:textAlignment w:val="baseline"/>
            </w:pPr>
            <w:r>
              <w:rPr>
                <w:spacing w:val="-2"/>
              </w:rPr>
              <w:t>《城镇燃气管理条例》</w:t>
            </w:r>
          </w:p>
        </w:tc>
        <w:tc>
          <w:tcPr>
            <w:tcW w:w="687"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5" w:line="221" w:lineRule="auto"/>
              <w:ind w:right="63" w:rightChars="0"/>
              <w:jc w:val="center"/>
              <w:textAlignment w:val="baseline"/>
              <w:rPr>
                <w:rFonts w:hint="default"/>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900" w:type="dxa"/>
            <w:vAlign w:val="center"/>
          </w:tcPr>
          <w:p>
            <w:pPr>
              <w:pStyle w:val="7"/>
              <w:keepNext w:val="0"/>
              <w:keepLines w:val="0"/>
              <w:pageBreakBefore w:val="0"/>
              <w:widowControl/>
              <w:kinsoku/>
              <w:wordWrap/>
              <w:overflowPunct w:val="0"/>
              <w:topLinePunct/>
              <w:autoSpaceDE w:val="0"/>
              <w:autoSpaceDN w:val="0"/>
              <w:bidi w:val="0"/>
              <w:adjustRightInd w:val="0"/>
              <w:snapToGrid w:val="0"/>
              <w:spacing w:before="74" w:line="246" w:lineRule="auto"/>
              <w:ind w:right="86" w:rightChars="0"/>
              <w:jc w:val="center"/>
              <w:textAlignment w:val="baseline"/>
              <w:rPr>
                <w:rFonts w:hint="eastAsia" w:eastAsia="宋体"/>
                <w:lang w:eastAsia="zh-CN"/>
              </w:rPr>
            </w:pPr>
            <w:r>
              <w:rPr>
                <w:rFonts w:hint="eastAsia"/>
                <w:spacing w:val="4"/>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W w:w="14409"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1"/>
        <w:gridCol w:w="1023"/>
        <w:gridCol w:w="1074"/>
        <w:gridCol w:w="3648"/>
        <w:gridCol w:w="3136"/>
        <w:gridCol w:w="3051"/>
        <w:gridCol w:w="936"/>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5" w:hRule="atLeast"/>
        </w:trPr>
        <w:tc>
          <w:tcPr>
            <w:tcW w:w="681"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ascii="宋体" w:hAnsi="宋体" w:eastAsia="宋体" w:cs="宋体"/>
                <w:sz w:val="23"/>
                <w:szCs w:val="23"/>
                <w:lang w:val="en-US" w:eastAsia="zh-CN"/>
              </w:rPr>
            </w:pPr>
            <w:r>
              <w:rPr>
                <w:rFonts w:ascii="宋体" w:hAnsi="宋体" w:eastAsia="宋体" w:cs="宋体"/>
                <w:spacing w:val="-4"/>
                <w:sz w:val="23"/>
                <w:szCs w:val="23"/>
              </w:rPr>
              <w:t>5</w:t>
            </w:r>
            <w:r>
              <w:rPr>
                <w:rFonts w:hint="eastAsia" w:ascii="宋体" w:hAnsi="宋体" w:eastAsia="宋体" w:cs="宋体"/>
                <w:spacing w:val="-4"/>
                <w:sz w:val="23"/>
                <w:szCs w:val="23"/>
                <w:lang w:val="en-US" w:eastAsia="zh-CN"/>
              </w:rPr>
              <w:t>2</w:t>
            </w:r>
          </w:p>
        </w:tc>
        <w:tc>
          <w:tcPr>
            <w:tcW w:w="1023" w:type="dxa"/>
            <w:vAlign w:val="center"/>
          </w:tcPr>
          <w:p>
            <w:pPr>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rPr>
                <w:rFonts w:ascii="宋体" w:hAnsi="宋体" w:eastAsia="宋体" w:cs="宋体"/>
                <w:sz w:val="23"/>
                <w:szCs w:val="23"/>
              </w:rPr>
            </w:pPr>
            <w:r>
              <w:rPr>
                <w:rFonts w:ascii="宋体" w:hAnsi="宋体" w:eastAsia="宋体" w:cs="宋体"/>
                <w:spacing w:val="-2"/>
                <w:sz w:val="23"/>
                <w:szCs w:val="23"/>
              </w:rPr>
              <w:t>城乡建设</w:t>
            </w:r>
          </w:p>
        </w:tc>
        <w:tc>
          <w:tcPr>
            <w:tcW w:w="1074" w:type="dxa"/>
            <w:vAlign w:val="center"/>
          </w:tcPr>
          <w:p>
            <w:pPr>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rFonts w:ascii="宋体" w:hAnsi="宋体" w:eastAsia="宋体" w:cs="宋体"/>
                <w:sz w:val="23"/>
                <w:szCs w:val="23"/>
              </w:rPr>
            </w:pPr>
            <w:r>
              <w:rPr>
                <w:rFonts w:hint="eastAsia" w:ascii="宋体" w:hAnsi="宋体" w:eastAsia="宋体" w:cs="宋体"/>
                <w:sz w:val="23"/>
                <w:szCs w:val="23"/>
              </w:rPr>
              <w:t>农村危房改造的组织实施和质量安全管理</w:t>
            </w:r>
          </w:p>
        </w:tc>
        <w:tc>
          <w:tcPr>
            <w:tcW w:w="364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住建部门主要负责对房屋安全性能进行识别鉴定，严格落实住建部危房改造质量安全“五个基本”</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技术要求组织实施改造或监督指导</w:t>
            </w:r>
            <w:r>
              <w:rPr>
                <w:rFonts w:hint="eastAsia"/>
                <w:spacing w:val="-4"/>
                <w:lang w:eastAsia="zh-CN"/>
              </w:rPr>
              <w:t>乡镇（街道）</w:t>
            </w:r>
            <w:r>
              <w:rPr>
                <w:spacing w:val="-4"/>
              </w:rPr>
              <w:t>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13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3051"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《建筑工程施工许可管理办法》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《山西省建筑工程质量和建筑安全生产管理条例》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《关于做好农村低收入群体等重点对象住房安全保障工作的实施意见》</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(建村〔2021〕35号)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《关于印发农房质量安全提升工程专项推进方案的通知》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(建村〔2022〕81号)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《中央财政农村危房改造补助资金管理办法》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(财社〔2023〕64号)</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《关于进一步强化农村危房改造动态保障工作机制的通知》</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(晋建村函〔2022〕1620号)</w:t>
            </w:r>
          </w:p>
        </w:tc>
        <w:tc>
          <w:tcPr>
            <w:tcW w:w="93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eastAsia="宋体"/>
                <w:spacing w:val="7"/>
                <w:lang w:val="en-US" w:eastAsia="zh-CN"/>
              </w:rPr>
            </w:pPr>
            <w:r>
              <w:rPr>
                <w:rFonts w:hint="eastAsia"/>
                <w:spacing w:val="4"/>
                <w:sz w:val="18"/>
                <w:szCs w:val="18"/>
                <w:lang w:eastAsia="zh-CN"/>
              </w:rPr>
              <w:t>聂营镇</w:t>
            </w: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eastAsia"/>
                <w:spacing w:val="7"/>
                <w:lang w:val="en-US" w:eastAsia="zh-CN"/>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21" w:lineRule="auto"/>
              <w:ind w:right="63" w:rightChars="0"/>
              <w:jc w:val="center"/>
              <w:textAlignment w:val="baseline"/>
              <w:rPr>
                <w:rFonts w:hint="default" w:ascii="Arial"/>
                <w:sz w:val="21"/>
                <w:lang w:val="en-US"/>
              </w:rPr>
            </w:pPr>
          </w:p>
        </w:tc>
        <w:tc>
          <w:tcPr>
            <w:tcW w:w="86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46" w:lineRule="auto"/>
              <w:ind w:right="86" w:rightChars="0"/>
              <w:jc w:val="center"/>
              <w:textAlignment w:val="baseline"/>
              <w:rPr>
                <w:rFonts w:hint="eastAsia" w:ascii="Arial" w:eastAsia="宋体"/>
                <w:sz w:val="21"/>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14"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040"/>
        <w:gridCol w:w="1108"/>
        <w:gridCol w:w="3949"/>
        <w:gridCol w:w="3006"/>
        <w:gridCol w:w="2795"/>
        <w:gridCol w:w="822"/>
        <w:gridCol w:w="8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2" w:lineRule="auto"/>
              <w:jc w:val="center"/>
              <w:textAlignment w:val="baseline"/>
              <w:rPr>
                <w:rFonts w:hint="eastAsia" w:eastAsia="宋体"/>
                <w:lang w:val="en-US" w:eastAsia="zh-CN"/>
              </w:rPr>
            </w:pPr>
            <w:r>
              <w:rPr>
                <w:spacing w:val="-4"/>
              </w:rPr>
              <w:t>5</w:t>
            </w:r>
            <w:r>
              <w:rPr>
                <w:rFonts w:hint="eastAsia"/>
                <w:spacing w:val="-4"/>
                <w:lang w:val="en-US" w:eastAsia="zh-CN"/>
              </w:rPr>
              <w:t>3</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4" w:lineRule="auto"/>
              <w:jc w:val="center"/>
              <w:textAlignment w:val="baseline"/>
            </w:pPr>
            <w:r>
              <w:rPr>
                <w:rFonts w:hint="eastAsia"/>
              </w:rPr>
              <w:t>城乡道路公共服务设施维护、更新、处罚</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城市管理、交通等部门督促设施产权单位或责任部门对道路公共</w:t>
            </w: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r>
              <w:rPr>
                <w:spacing w:val="-4"/>
              </w:rPr>
              <w:t>服务设施进行维护更新。对未完成养护、维修责任的单位和个人给予处罚。</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及时发现辖区内道路公共服务设施出现的问题，向县级管理部门提出查询产权或责任部门申请，配合产权单位对道路公共服务设施进行维护更新，对未经批准损坏村道及村道设施等赋权事项的行政处罚。</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《公路法》</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《城市道路管理条例》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《公路安全保护条例》</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《山西省人民政府关于向乡镇人民政府和办事处下放部分行政执法职权的决定》</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(晋政发〔2022〕22号)</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5</w:t>
            </w:r>
            <w:r>
              <w:rPr>
                <w:rFonts w:hint="eastAsia"/>
                <w:spacing w:val="-4"/>
                <w:lang w:val="en-US" w:eastAsia="zh-CN"/>
              </w:rPr>
              <w:t>4</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4" w:lineRule="auto"/>
              <w:ind w:right="50"/>
              <w:jc w:val="center"/>
              <w:textAlignment w:val="baseline"/>
            </w:pPr>
            <w:r>
              <w:rPr>
                <w:rFonts w:hint="eastAsia"/>
              </w:rPr>
              <w:t>燃气工程建设、经营使用、设施保护、燃气器具安装维修等活动的监管执法</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统筹</w:t>
            </w:r>
            <w:r>
              <w:rPr>
                <w:rFonts w:hint="eastAsia"/>
                <w:spacing w:val="-4"/>
                <w:lang w:eastAsia="zh-CN"/>
              </w:rPr>
              <w:t>乡镇（街道）</w:t>
            </w:r>
            <w:r>
              <w:rPr>
                <w:spacing w:val="-4"/>
              </w:rPr>
              <w:t>、村(社区)网格监管力量，做好辖区燃气管道及用户安全监管，对发现的问题进行初步核实，相关情况及时上报主管部门。</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《城镇燃气管理条例》</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trPr>
        <w:tc>
          <w:tcPr>
            <w:tcW w:w="64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5</w:t>
            </w:r>
            <w:r>
              <w:rPr>
                <w:rFonts w:hint="eastAsia"/>
                <w:spacing w:val="-4"/>
                <w:lang w:val="en-US" w:eastAsia="zh-CN"/>
              </w:rPr>
              <w:t>5</w:t>
            </w:r>
          </w:p>
        </w:tc>
        <w:tc>
          <w:tcPr>
            <w:tcW w:w="104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城乡建设</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39" w:lineRule="auto"/>
              <w:ind w:right="44"/>
              <w:jc w:val="center"/>
              <w:textAlignment w:val="baseline"/>
            </w:pPr>
            <w:r>
              <w:rPr>
                <w:rFonts w:hint="eastAsia"/>
              </w:rPr>
              <w:t>农村集体建设用地上的房屋建筑管理和农村房屋安全隐患排查整治</w:t>
            </w:r>
          </w:p>
        </w:tc>
        <w:tc>
          <w:tcPr>
            <w:tcW w:w="3949"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00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对辖区内农房安全隐患进行全面排查整治，闭环管理；对农村自建低层房屋建设进行监督管理和服务，对农村其他房屋建筑活动进行现场管理和日常巡查，</w:t>
            </w:r>
          </w:p>
        </w:tc>
        <w:tc>
          <w:tcPr>
            <w:tcW w:w="2795" w:type="dxa"/>
            <w:vAlign w:val="top"/>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《山西省农村集体建设用地房屋建筑设计施工监理管理服务办法(试行)》</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ascii="Arial"/>
                <w:sz w:val="21"/>
              </w:rPr>
            </w:pPr>
            <w:r>
              <w:rPr>
                <w:rFonts w:ascii="Arial"/>
                <w:sz w:val="21"/>
              </w:rPr>
              <w:t>《山西省城乡房屋安全隐患排查整治行动方案》</w:t>
            </w:r>
          </w:p>
        </w:tc>
        <w:tc>
          <w:tcPr>
            <w:tcW w:w="82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1"/>
                <w:lang w:val="en-US" w:eastAsia="zh-CN"/>
              </w:rPr>
            </w:pPr>
            <w:r>
              <w:rPr>
                <w:rFonts w:hint="eastAsia" w:eastAsia="宋体"/>
                <w:sz w:val="18"/>
                <w:szCs w:val="18"/>
                <w:lang w:eastAsia="zh-CN"/>
              </w:rPr>
              <w:t>聂营镇</w:t>
            </w:r>
          </w:p>
        </w:tc>
        <w:tc>
          <w:tcPr>
            <w:tcW w:w="847"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sz w:val="18"/>
                <w:szCs w:val="18"/>
                <w:lang w:eastAsia="zh-CN"/>
              </w:rPr>
            </w:pPr>
            <w:r>
              <w:rPr>
                <w:rFonts w:hint="eastAsia"/>
                <w:spacing w:val="7"/>
                <w:lang w:val="en-US" w:eastAsia="zh-CN"/>
              </w:rPr>
              <w:t>县住房和城乡建设管理局</w:t>
            </w:r>
            <w:r>
              <w:rPr>
                <w:rFonts w:hint="eastAsia" w:eastAsia="宋体"/>
                <w:color w:val="auto"/>
                <w:sz w:val="21"/>
                <w:lang w:val="en-US" w:eastAsia="zh-CN"/>
              </w:rPr>
              <w:t>等相关部门</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4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40"/>
        <w:gridCol w:w="1108"/>
        <w:gridCol w:w="3835"/>
        <w:gridCol w:w="3445"/>
        <w:gridCol w:w="2613"/>
        <w:gridCol w:w="675"/>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5" w:hRule="atLeast"/>
        </w:trPr>
        <w:tc>
          <w:tcPr>
            <w:tcW w:w="63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rFonts w:hint="eastAsia" w:eastAsia="宋体"/>
                <w:spacing w:val="-4"/>
                <w:lang w:val="en-US" w:eastAsia="zh-CN"/>
              </w:rPr>
            </w:pPr>
            <w:r>
              <w:rPr>
                <w:spacing w:val="-4"/>
              </w:rPr>
              <w:t>5</w:t>
            </w:r>
            <w:r>
              <w:rPr>
                <w:rFonts w:hint="eastAsia"/>
                <w:spacing w:val="-4"/>
                <w:lang w:val="en-US" w:eastAsia="zh-CN"/>
              </w:rPr>
              <w:t>6</w:t>
            </w:r>
          </w:p>
        </w:tc>
        <w:tc>
          <w:tcPr>
            <w:tcW w:w="104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spacing w:val="-4"/>
              </w:rPr>
              <w:t>城乡建设</w:t>
            </w:r>
          </w:p>
        </w:tc>
        <w:tc>
          <w:tcPr>
            <w:tcW w:w="110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before="75" w:line="182" w:lineRule="auto"/>
              <w:jc w:val="center"/>
              <w:textAlignment w:val="baseline"/>
              <w:rPr>
                <w:spacing w:val="-4"/>
              </w:rPr>
            </w:pPr>
            <w:r>
              <w:rPr>
                <w:rFonts w:hint="eastAsia"/>
                <w:spacing w:val="-4"/>
              </w:rPr>
              <w:t>自建房安全专项整治工作</w:t>
            </w:r>
          </w:p>
        </w:tc>
        <w:tc>
          <w:tcPr>
            <w:tcW w:w="383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w:t>
            </w:r>
            <w:r>
              <w:rPr>
                <w:rFonts w:hint="eastAsia"/>
                <w:spacing w:val="-4"/>
                <w:lang w:eastAsia="zh-CN"/>
              </w:rPr>
              <w:t>乡镇（街道）</w:t>
            </w:r>
            <w:r>
              <w:rPr>
                <w:spacing w:val="-4"/>
              </w:rPr>
              <w:t>建立房屋安全管理制度和网格化动态管理制度，健全房屋安全隐患常态化巡查发现机制，加强对重点区域自建房安全隐患排查。</w:t>
            </w:r>
          </w:p>
        </w:tc>
        <w:tc>
          <w:tcPr>
            <w:tcW w:w="3445"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落实、乡镇的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w:t>
            </w:r>
          </w:p>
        </w:tc>
        <w:tc>
          <w:tcPr>
            <w:tcW w:w="2613"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《关于印发全国自建房安全专项整治工作方案的通知》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(国办发明电〔2022〕10号)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《关于加强经营性自建房安全管理的通知》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1"/>
              </w:rPr>
            </w:pPr>
            <w:r>
              <w:rPr>
                <w:rFonts w:ascii="Arial"/>
                <w:sz w:val="21"/>
              </w:rPr>
              <w:t>(建村2023</w:t>
            </w:r>
            <w:r>
              <w:rPr>
                <w:rFonts w:hint="eastAsia" w:eastAsia="宋体"/>
                <w:sz w:val="21"/>
                <w:lang w:val="en-US" w:eastAsia="zh-CN"/>
              </w:rPr>
              <w:t xml:space="preserve"> </w:t>
            </w:r>
            <w:r>
              <w:rPr>
                <w:rFonts w:ascii="Arial"/>
                <w:sz w:val="21"/>
              </w:rPr>
              <w:t>18号)</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ascii="Arial"/>
                <w:sz w:val="20"/>
                <w:szCs w:val="20"/>
              </w:rPr>
            </w:pPr>
            <w:r>
              <w:rPr>
                <w:rFonts w:ascii="Arial"/>
                <w:sz w:val="20"/>
                <w:szCs w:val="20"/>
              </w:rPr>
              <w:t>《关于印发经营性自建房安全管理实施细则(试行))的通知》</w:t>
            </w:r>
          </w:p>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sz w:val="21"/>
                <w:lang w:eastAsia="zh-CN"/>
              </w:rPr>
            </w:pPr>
            <w:r>
              <w:rPr>
                <w:rFonts w:ascii="Arial"/>
                <w:sz w:val="20"/>
                <w:szCs w:val="20"/>
              </w:rPr>
              <w:t>(晋建村规字〔2023〕136号</w:t>
            </w:r>
            <w:r>
              <w:rPr>
                <w:rFonts w:hint="eastAsia" w:ascii="Arial"/>
                <w:sz w:val="20"/>
                <w:szCs w:val="20"/>
                <w:lang w:val="en-US" w:eastAsia="zh-CN"/>
              </w:rPr>
              <w:t>)</w:t>
            </w:r>
          </w:p>
        </w:tc>
        <w:tc>
          <w:tcPr>
            <w:tcW w:w="675"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default" w:ascii="Arial"/>
                <w:sz w:val="21"/>
                <w:lang w:val="en-US"/>
              </w:rPr>
            </w:pPr>
            <w:r>
              <w:rPr>
                <w:rFonts w:hint="eastAsia"/>
                <w:spacing w:val="7"/>
                <w:lang w:val="en-US" w:eastAsia="zh-CN"/>
              </w:rPr>
              <w:t>县住房和城乡建设管理局</w:t>
            </w:r>
            <w:r>
              <w:rPr>
                <w:rFonts w:hint="eastAsia" w:eastAsia="宋体"/>
                <w:color w:val="auto"/>
                <w:sz w:val="21"/>
                <w:lang w:val="en-US" w:eastAsia="zh-CN"/>
              </w:rPr>
              <w:t>等相关部门</w:t>
            </w:r>
          </w:p>
        </w:tc>
        <w:tc>
          <w:tcPr>
            <w:tcW w:w="894" w:type="dxa"/>
            <w:vAlign w:val="center"/>
          </w:tcPr>
          <w:p>
            <w:pPr>
              <w:keepNext w:val="0"/>
              <w:keepLines w:val="0"/>
              <w:pageBreakBefore w:val="0"/>
              <w:widowControl/>
              <w:kinsoku/>
              <w:wordWrap/>
              <w:overflowPunct w:val="0"/>
              <w:topLinePunct w:val="0"/>
              <w:autoSpaceDE w:val="0"/>
              <w:autoSpaceDN w:val="0"/>
              <w:bidi w:val="0"/>
              <w:adjustRightInd w:val="0"/>
              <w:snapToGrid w:val="0"/>
              <w:spacing w:line="302" w:lineRule="auto"/>
              <w:jc w:val="center"/>
              <w:textAlignment w:val="baseline"/>
              <w:rPr>
                <w:rFonts w:hint="eastAsia" w:ascii="Arial" w:eastAsia="宋体"/>
                <w:sz w:val="21"/>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82"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1057"/>
        <w:gridCol w:w="1108"/>
        <w:gridCol w:w="3928"/>
        <w:gridCol w:w="3278"/>
        <w:gridCol w:w="2707"/>
        <w:gridCol w:w="65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5</w:t>
            </w:r>
            <w:r>
              <w:rPr>
                <w:rFonts w:hint="eastAsia"/>
                <w:spacing w:val="-4"/>
                <w:sz w:val="22"/>
                <w:szCs w:val="22"/>
                <w:lang w:val="en-US" w:eastAsia="zh-CN"/>
              </w:rPr>
              <w:t>7</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5" w:lineRule="auto"/>
              <w:ind w:right="69"/>
              <w:jc w:val="center"/>
              <w:textAlignment w:val="baseline"/>
              <w:rPr>
                <w:sz w:val="22"/>
                <w:szCs w:val="22"/>
              </w:rPr>
            </w:pPr>
            <w:r>
              <w:rPr>
                <w:rFonts w:hint="eastAsia"/>
                <w:sz w:val="22"/>
                <w:szCs w:val="22"/>
              </w:rPr>
              <w:t>自然灾害和生产安全事故应急救援</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w:t>
            </w:r>
            <w:r>
              <w:rPr>
                <w:rFonts w:hint="eastAsia"/>
                <w:spacing w:val="-4"/>
                <w:lang w:eastAsia="zh-CN"/>
              </w:rPr>
              <w:t>乡镇（街道）</w:t>
            </w:r>
            <w:r>
              <w:rPr>
                <w:spacing w:val="-4"/>
              </w:rPr>
              <w:t>及社会应急救援力量建设。加强救灾物资储备，核定上报灾情指导救灾工作，转移安置受灾群众；开展救灾救助，组织灾后恢复重建</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编制</w:t>
            </w:r>
            <w:r>
              <w:rPr>
                <w:rFonts w:hint="eastAsia"/>
                <w:spacing w:val="-4"/>
                <w:lang w:eastAsia="zh-CN"/>
              </w:rPr>
              <w:t>乡镇（街道）</w:t>
            </w:r>
            <w:r>
              <w:rPr>
                <w:spacing w:val="-4"/>
              </w:rPr>
              <w:t>总体应急预案、自然灾害类专项预案和安全生产类专项预案，通过张贴标语或宣传手册等方式进行应急救援宣传教育，统筹</w:t>
            </w:r>
            <w:r>
              <w:rPr>
                <w:rFonts w:hint="eastAsia"/>
                <w:spacing w:val="-4"/>
                <w:lang w:eastAsia="zh-CN"/>
              </w:rPr>
              <w:t>乡镇（街道）</w:t>
            </w:r>
            <w:r>
              <w:rPr>
                <w:spacing w:val="-4"/>
              </w:rPr>
              <w:t>、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pacing w:val="-3"/>
                <w:sz w:val="22"/>
                <w:szCs w:val="22"/>
              </w:rPr>
            </w:pPr>
            <w:r>
              <w:rPr>
                <w:spacing w:val="-3"/>
                <w:sz w:val="22"/>
                <w:szCs w:val="22"/>
              </w:rPr>
              <w:t>《突发事件应对法》</w:t>
            </w:r>
          </w:p>
          <w:p>
            <w:pPr>
              <w:pStyle w:val="7"/>
              <w:keepNext w:val="0"/>
              <w:keepLines w:val="0"/>
              <w:pageBreakBefore w:val="0"/>
              <w:widowControl/>
              <w:kinsoku w:val="0"/>
              <w:wordWrap/>
              <w:overflowPunct w:val="0"/>
              <w:topLinePunct/>
              <w:autoSpaceDE w:val="0"/>
              <w:autoSpaceDN w:val="0"/>
              <w:bidi w:val="0"/>
              <w:adjustRightInd w:val="0"/>
              <w:snapToGrid w:val="0"/>
              <w:spacing w:line="227" w:lineRule="auto"/>
              <w:ind w:right="0"/>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pacing w:val="-2"/>
                <w:sz w:val="22"/>
                <w:szCs w:val="22"/>
              </w:rPr>
            </w:pPr>
            <w:r>
              <w:rPr>
                <w:spacing w:val="-2"/>
                <w:sz w:val="22"/>
                <w:szCs w:val="22"/>
              </w:rPr>
              <w:t>《生产安全事故应急条例</w:t>
            </w:r>
          </w:p>
          <w:p>
            <w:pPr>
              <w:pStyle w:val="7"/>
              <w:keepNext w:val="0"/>
              <w:keepLines w:val="0"/>
              <w:pageBreakBefore w:val="0"/>
              <w:widowControl/>
              <w:kinsoku w:val="0"/>
              <w:wordWrap/>
              <w:overflowPunct w:val="0"/>
              <w:topLinePunct/>
              <w:autoSpaceDE w:val="0"/>
              <w:autoSpaceDN w:val="0"/>
              <w:bidi w:val="0"/>
              <w:adjustRightInd w:val="0"/>
              <w:snapToGrid w:val="0"/>
              <w:spacing w:line="228" w:lineRule="auto"/>
              <w:ind w:right="0"/>
              <w:jc w:val="center"/>
              <w:textAlignment w:val="baseline"/>
              <w:rPr>
                <w:sz w:val="22"/>
                <w:szCs w:val="22"/>
              </w:rPr>
            </w:pPr>
            <w:r>
              <w:rPr>
                <w:spacing w:val="-3"/>
                <w:sz w:val="22"/>
                <w:szCs w:val="22"/>
              </w:rPr>
              <w:t>《防震减灾法》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0"/>
              <w:jc w:val="center"/>
              <w:textAlignment w:val="baseline"/>
              <w:rPr>
                <w:sz w:val="22"/>
                <w:szCs w:val="22"/>
              </w:rPr>
            </w:pPr>
            <w:r>
              <w:rPr>
                <w:spacing w:val="-2"/>
                <w:sz w:val="22"/>
                <w:szCs w:val="22"/>
              </w:rPr>
              <w:t>《地质灾害条例》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6" w:hRule="atLeast"/>
        </w:trPr>
        <w:tc>
          <w:tcPr>
            <w:tcW w:w="6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58</w:t>
            </w:r>
          </w:p>
        </w:tc>
        <w:tc>
          <w:tcPr>
            <w:tcW w:w="105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10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25" w:lineRule="auto"/>
              <w:jc w:val="center"/>
              <w:textAlignment w:val="baseline"/>
              <w:rPr>
                <w:sz w:val="22"/>
                <w:szCs w:val="22"/>
              </w:rPr>
            </w:pPr>
            <w:r>
              <w:rPr>
                <w:rFonts w:hint="eastAsia"/>
                <w:sz w:val="22"/>
                <w:szCs w:val="22"/>
              </w:rPr>
              <w:t>对生产经营单位安全生产的监管执法</w:t>
            </w:r>
          </w:p>
        </w:tc>
        <w:tc>
          <w:tcPr>
            <w:tcW w:w="39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事故隐患的，应当依法处理处罚。指导</w:t>
            </w:r>
            <w:r>
              <w:rPr>
                <w:rFonts w:hint="eastAsia"/>
                <w:spacing w:val="-4"/>
                <w:lang w:eastAsia="zh-CN"/>
              </w:rPr>
              <w:t>乡镇（街道）</w:t>
            </w:r>
            <w:r>
              <w:rPr>
                <w:spacing w:val="-4"/>
              </w:rPr>
              <w:t>对生产经营单位安全生产状况进行监督检查，做好赋权事项行政处罚工作，并提供必要的支持。</w:t>
            </w:r>
          </w:p>
        </w:tc>
        <w:tc>
          <w:tcPr>
            <w:tcW w:w="327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70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rPr>
                <w:sz w:val="22"/>
                <w:szCs w:val="22"/>
              </w:rPr>
            </w:pPr>
            <w:r>
              <w:rPr>
                <w:spacing w:val="-2"/>
                <w:sz w:val="22"/>
                <w:szCs w:val="22"/>
              </w:rPr>
              <w:t>《安全生产培训管理办法》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jc w:val="center"/>
              <w:textAlignment w:val="baseline"/>
              <w:rPr>
                <w:sz w:val="22"/>
                <w:szCs w:val="22"/>
              </w:rPr>
            </w:pPr>
            <w:r>
              <w:rPr>
                <w:spacing w:val="-2"/>
                <w:sz w:val="22"/>
                <w:szCs w:val="22"/>
              </w:rPr>
              <w:t>《安全生产违法行为行政</w:t>
            </w:r>
            <w:r>
              <w:rPr>
                <w:spacing w:val="-1"/>
                <w:sz w:val="22"/>
                <w:szCs w:val="22"/>
              </w:rPr>
              <w:t>处罚办法》</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jc w:val="center"/>
              <w:textAlignment w:val="baseline"/>
              <w:rPr>
                <w:sz w:val="22"/>
                <w:szCs w:val="22"/>
              </w:rPr>
            </w:pPr>
            <w:r>
              <w:rPr>
                <w:spacing w:val="-2"/>
                <w:sz w:val="22"/>
                <w:szCs w:val="22"/>
              </w:rPr>
              <w:t>《山西省安全生产条例》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rPr>
                <w:sz w:val="22"/>
                <w:szCs w:val="22"/>
              </w:rPr>
            </w:pPr>
            <w:r>
              <w:rPr>
                <w:spacing w:val="-1"/>
                <w:sz w:val="22"/>
                <w:szCs w:val="22"/>
              </w:rPr>
              <w:t>《山西省人民政府关于向乡</w:t>
            </w:r>
            <w:r>
              <w:rPr>
                <w:spacing w:val="1"/>
                <w:sz w:val="22"/>
                <w:szCs w:val="22"/>
              </w:rPr>
              <w:t>镇人民政府和办事处下</w:t>
            </w:r>
            <w:r>
              <w:rPr>
                <w:spacing w:val="-4"/>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9" w:line="220" w:lineRule="auto"/>
              <w:jc w:val="center"/>
              <w:textAlignment w:val="baseline"/>
              <w:rPr>
                <w:sz w:val="22"/>
                <w:szCs w:val="22"/>
              </w:rPr>
            </w:pPr>
            <w:r>
              <w:rPr>
                <w:spacing w:val="3"/>
                <w:sz w:val="22"/>
                <w:szCs w:val="22"/>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eastAsia="宋体"/>
                <w:sz w:val="22"/>
                <w:szCs w:val="22"/>
                <w:lang w:val="en-US" w:eastAsia="zh-CN"/>
              </w:rPr>
            </w:pPr>
            <w:r>
              <w:rPr>
                <w:rFonts w:hint="eastAsia" w:eastAsia="宋体"/>
                <w:sz w:val="21"/>
                <w:lang w:val="en-US" w:eastAsia="zh-CN"/>
              </w:rPr>
              <w:t>等</w:t>
            </w:r>
            <w:r>
              <w:rPr>
                <w:rFonts w:hint="eastAsia" w:eastAsia="宋体"/>
                <w:color w:val="auto"/>
                <w:sz w:val="21"/>
                <w:lang w:val="en-US" w:eastAsia="zh-CN"/>
              </w:rPr>
              <w:t>相关部门</w:t>
            </w:r>
          </w:p>
        </w:tc>
        <w:tc>
          <w:tcPr>
            <w:tcW w:w="824"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229"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6"/>
        <w:gridCol w:w="1074"/>
        <w:gridCol w:w="1194"/>
        <w:gridCol w:w="3818"/>
        <w:gridCol w:w="3355"/>
        <w:gridCol w:w="2725"/>
        <w:gridCol w:w="612"/>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5"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4" w:lineRule="auto"/>
              <w:jc w:val="center"/>
              <w:textAlignment w:val="baseline"/>
              <w:rPr>
                <w:rFonts w:hint="default" w:eastAsia="宋体"/>
                <w:lang w:val="en-US" w:eastAsia="zh-CN"/>
              </w:rPr>
            </w:pPr>
            <w:r>
              <w:rPr>
                <w:rFonts w:hint="eastAsia"/>
                <w:lang w:val="en-US" w:eastAsia="zh-CN"/>
              </w:rPr>
              <w:t>59</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31" w:lineRule="auto"/>
              <w:ind w:right="50"/>
              <w:jc w:val="center"/>
              <w:textAlignment w:val="baseline"/>
            </w:pPr>
            <w:r>
              <w:rPr>
                <w:rFonts w:hint="eastAsia"/>
              </w:rPr>
              <w:t>对商贸流通领域安全的监管执法</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应急管理、消防救援、住房和城乡建设、市场监管等行业主管部门牵头负责商贸流通领域安全生产日常工作，组织协调相关部门、</w:t>
            </w:r>
            <w:r>
              <w:rPr>
                <w:rFonts w:hint="eastAsia"/>
                <w:spacing w:val="-4"/>
                <w:lang w:eastAsia="zh-CN"/>
              </w:rPr>
              <w:t>乡镇（街道）</w:t>
            </w:r>
            <w:r>
              <w:rPr>
                <w:spacing w:val="-4"/>
              </w:rPr>
              <w:t>开展商贸流通领域安全隐患排查、监管执法等工作。商务部门积极配合有关监管、执法部门开展排查。</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rPr>
                <w:spacing w:val="-3"/>
              </w:rPr>
            </w:pPr>
            <w:r>
              <w:rPr>
                <w:spacing w:val="-3"/>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line="234" w:lineRule="auto"/>
              <w:jc w:val="center"/>
              <w:textAlignment w:val="baseline"/>
            </w:pPr>
            <w:r>
              <w:rPr>
                <w:spacing w:val="-4"/>
              </w:rPr>
              <w:t>《消防法》</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pPr>
            <w:r>
              <w:rPr>
                <w:rFonts w:hint="eastAsia" w:eastAsia="宋体"/>
                <w:sz w:val="21"/>
                <w:lang w:val="en-US" w:eastAsia="zh-CN"/>
              </w:rPr>
              <w:t>理局</w:t>
            </w:r>
            <w:r>
              <w:rPr>
                <w:rFonts w:hint="eastAsia" w:eastAsia="宋体"/>
                <w:color w:val="auto"/>
                <w:sz w:val="21"/>
                <w:lang w:val="en-US" w:eastAsia="zh-CN"/>
              </w:rPr>
              <w:t>等相关部门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46"/>
                <w:szCs w:val="46"/>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0" w:hRule="atLeast"/>
        </w:trPr>
        <w:tc>
          <w:tcPr>
            <w:tcW w:w="59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3"/>
              </w:rPr>
              <w:t>6</w:t>
            </w:r>
            <w:r>
              <w:rPr>
                <w:rFonts w:hint="eastAsia"/>
                <w:spacing w:val="-3"/>
                <w:lang w:val="en-US" w:eastAsia="zh-CN"/>
              </w:rPr>
              <w:t>0</w:t>
            </w:r>
          </w:p>
        </w:tc>
        <w:tc>
          <w:tcPr>
            <w:tcW w:w="107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应急管理</w:t>
            </w:r>
          </w:p>
        </w:tc>
        <w:tc>
          <w:tcPr>
            <w:tcW w:w="119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4" w:lineRule="auto"/>
              <w:ind w:right="58"/>
              <w:jc w:val="center"/>
              <w:textAlignment w:val="baseline"/>
            </w:pPr>
            <w:r>
              <w:rPr>
                <w:rFonts w:hint="eastAsia"/>
              </w:rPr>
              <w:t>消防安全监管</w:t>
            </w:r>
          </w:p>
        </w:tc>
        <w:tc>
          <w:tcPr>
            <w:tcW w:w="3818"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消防救援等部门牵头负责消防安全监督管理，组织协调相关部门开展消防安全专项治理、联合执法等工作</w:t>
            </w:r>
          </w:p>
        </w:tc>
        <w:tc>
          <w:tcPr>
            <w:tcW w:w="3355" w:type="dxa"/>
            <w:vAlign w:val="top"/>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69"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862"/>
              <w:jc w:val="both"/>
              <w:textAlignment w:val="baseline"/>
            </w:pPr>
            <w:r>
              <w:rPr>
                <w:spacing w:val="-4"/>
              </w:rPr>
              <w:t>《消防法》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《高层民用建筑消防安全</w:t>
            </w:r>
            <w:r>
              <w:rPr>
                <w:spacing w:val="-4"/>
              </w:rPr>
              <w:t>管理规定》</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402"/>
              <w:jc w:val="both"/>
              <w:textAlignment w:val="baseline"/>
            </w:pPr>
            <w:r>
              <w:rPr>
                <w:spacing w:val="-2"/>
              </w:rPr>
              <w:t>《山西省消防条例》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1"/>
              </w:rPr>
              <w:t>《山西省消防安全责任制</w:t>
            </w:r>
            <w:r>
              <w:rPr>
                <w:spacing w:val="-4"/>
              </w:rPr>
              <w:t>实施办法》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112"/>
              <w:jc w:val="center"/>
              <w:textAlignment w:val="baseline"/>
            </w:pPr>
            <w:r>
              <w:rPr>
                <w:spacing w:val="-2"/>
              </w:rPr>
              <w:t>《山西省文物建筑消防安</w:t>
            </w:r>
            <w:r>
              <w:t>全管理规定》</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right="3"/>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both"/>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spacing w:val="3"/>
              </w:rPr>
              <w:t>(晋政发〔2022〕22号)</w:t>
            </w:r>
          </w:p>
        </w:tc>
        <w:tc>
          <w:tcPr>
            <w:tcW w:w="612"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理局</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default"/>
                <w:lang w:val="en-US"/>
              </w:rPr>
            </w:pPr>
            <w:r>
              <w:rPr>
                <w:rFonts w:hint="eastAsia" w:eastAsia="宋体"/>
                <w:sz w:val="21"/>
                <w:lang w:val="en-US" w:eastAsia="zh-CN"/>
              </w:rPr>
              <w:t>等</w:t>
            </w:r>
            <w:r>
              <w:rPr>
                <w:rFonts w:hint="eastAsia" w:eastAsia="宋体"/>
                <w:color w:val="auto"/>
                <w:sz w:val="21"/>
                <w:lang w:val="en-US" w:eastAsia="zh-CN"/>
              </w:rPr>
              <w:t>相关部门</w:t>
            </w:r>
          </w:p>
        </w:tc>
        <w:tc>
          <w:tcPr>
            <w:tcW w:w="85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115" w:type="dxa"/>
        <w:tblInd w:w="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1056"/>
        <w:gridCol w:w="1245"/>
        <w:gridCol w:w="3784"/>
        <w:gridCol w:w="3268"/>
        <w:gridCol w:w="2657"/>
        <w:gridCol w:w="625"/>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9"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1</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9" w:line="219" w:lineRule="auto"/>
              <w:jc w:val="center"/>
              <w:textAlignment w:val="baseline"/>
              <w:rPr>
                <w:sz w:val="22"/>
                <w:szCs w:val="22"/>
              </w:rPr>
            </w:pPr>
            <w:r>
              <w:rPr>
                <w:rFonts w:hint="eastAsia"/>
                <w:sz w:val="22"/>
                <w:szCs w:val="22"/>
              </w:rPr>
              <w:t>对非法(违法)生产经营烟花爆竹行为的监管执法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应急管理部门负责烟花爆竹的安全生产监督管理。公安部门负责烟花爆竹的公共安全管理。市场监管部门负责烟花爆竹的质量监督。相关部门接到</w:t>
            </w:r>
            <w:r>
              <w:rPr>
                <w:rFonts w:hint="eastAsia"/>
                <w:spacing w:val="-4"/>
                <w:lang w:eastAsia="zh-CN"/>
              </w:rPr>
              <w:t>乡镇（街道）</w:t>
            </w:r>
            <w:r>
              <w:rPr>
                <w:spacing w:val="-4"/>
              </w:rPr>
              <w:t>举报按照职责分工及时予以处置。</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对本辖区进行定期巡查、做好记录，发现非法生产、经营、储存、运输、燃放烟花爆竹等行为及时劝告制止，并及时上报相关部门予以查处。</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6"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8" w:lineRule="auto"/>
              <w:ind w:left="106"/>
              <w:jc w:val="center"/>
              <w:textAlignment w:val="baseline"/>
              <w:rPr>
                <w:sz w:val="22"/>
                <w:szCs w:val="22"/>
              </w:rPr>
            </w:pPr>
            <w:r>
              <w:rPr>
                <w:spacing w:val="-2"/>
                <w:sz w:val="22"/>
                <w:szCs w:val="22"/>
              </w:rPr>
              <w:t>《烟花爆竹安全管理条例》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2"/>
                <w:szCs w:val="22"/>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2" w:hRule="atLeast"/>
        </w:trPr>
        <w:tc>
          <w:tcPr>
            <w:tcW w:w="58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2</w:t>
            </w:r>
          </w:p>
        </w:tc>
        <w:tc>
          <w:tcPr>
            <w:tcW w:w="105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应急管理</w:t>
            </w:r>
          </w:p>
        </w:tc>
        <w:tc>
          <w:tcPr>
            <w:tcW w:w="124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rFonts w:hint="eastAsia"/>
                <w:sz w:val="22"/>
                <w:szCs w:val="22"/>
              </w:rPr>
              <w:t>危险化学品安全生产的监管执法</w:t>
            </w:r>
          </w:p>
        </w:tc>
        <w:tc>
          <w:tcPr>
            <w:tcW w:w="3784"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应急管理、生态环境、市场监管、交通运输、商务、工信、公安及相关审批部门建立协调机制，按照职责分工对危险化学品生产、运输、使用、储存、经营、废弃处置等进行监管，对危险化学品登记企业信息进行初审，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26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对辖区内危化品生产经营企业进行日常巡查并做好记录，发现违法违规生产经营危化品或存在安全隐患的，及时上报有关部门处理；督促各村居监管员协助做好危化品违法生产经营及使用行为的排查和情况上报。</w:t>
            </w:r>
          </w:p>
        </w:tc>
        <w:tc>
          <w:tcPr>
            <w:tcW w:w="265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3"/>
                <w:sz w:val="22"/>
                <w:szCs w:val="22"/>
              </w:rPr>
              <w:t>《安全生产法》</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center"/>
              <w:textAlignment w:val="baseline"/>
              <w:rPr>
                <w:sz w:val="22"/>
                <w:szCs w:val="22"/>
              </w:rPr>
            </w:pPr>
            <w:r>
              <w:rPr>
                <w:spacing w:val="-2"/>
                <w:sz w:val="21"/>
                <w:szCs w:val="21"/>
              </w:rPr>
              <w:t>《危险化学品安全管理条</w:t>
            </w:r>
            <w:r>
              <w:rPr>
                <w:spacing w:val="-5"/>
                <w:sz w:val="21"/>
                <w:szCs w:val="21"/>
              </w:rPr>
              <w:t>例》</w:t>
            </w:r>
          </w:p>
        </w:tc>
        <w:tc>
          <w:tcPr>
            <w:tcW w:w="625"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县应</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eastAsia="宋体"/>
                <w:sz w:val="21"/>
                <w:lang w:val="en-US" w:eastAsia="zh-CN"/>
              </w:rPr>
            </w:pPr>
            <w:r>
              <w:rPr>
                <w:rFonts w:hint="eastAsia" w:eastAsia="宋体"/>
                <w:sz w:val="21"/>
                <w:lang w:val="en-US" w:eastAsia="zh-CN"/>
              </w:rPr>
              <w:t>急管</w:t>
            </w:r>
          </w:p>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sz w:val="22"/>
                <w:szCs w:val="22"/>
              </w:rPr>
            </w:pPr>
            <w:r>
              <w:rPr>
                <w:rFonts w:hint="eastAsia" w:eastAsia="宋体"/>
                <w:sz w:val="21"/>
                <w:lang w:val="en-US" w:eastAsia="zh-CN"/>
              </w:rPr>
              <w:t>理局</w:t>
            </w:r>
            <w:r>
              <w:rPr>
                <w:rFonts w:hint="eastAsia" w:eastAsia="宋体"/>
                <w:color w:val="auto"/>
                <w:sz w:val="21"/>
                <w:lang w:val="en-US" w:eastAsia="zh-CN"/>
              </w:rPr>
              <w:t>等相关部门</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302" w:lineRule="auto"/>
              <w:jc w:val="center"/>
              <w:textAlignment w:val="baseline"/>
              <w:rPr>
                <w:rFonts w:hint="eastAsia" w:ascii="Arial" w:eastAsia="宋体"/>
                <w:sz w:val="22"/>
                <w:szCs w:val="22"/>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406"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971"/>
        <w:gridCol w:w="1330"/>
        <w:gridCol w:w="3776"/>
        <w:gridCol w:w="3267"/>
        <w:gridCol w:w="2868"/>
        <w:gridCol w:w="660"/>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3</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8" w:line="224" w:lineRule="auto"/>
              <w:jc w:val="center"/>
              <w:textAlignment w:val="baseline"/>
            </w:pPr>
            <w:r>
              <w:rPr>
                <w:rFonts w:hint="eastAsia"/>
              </w:rPr>
              <w:t>对拖欠农民工工资矛盾的排查和调处</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人社部门负责保障农民工工资支付工作的组织协调、管理指导和农民工工资支付情况的监督检查，依法查处有关拖欠农民工工资案件。</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负责对企业拖欠农民工工资矛盾纠纷及时排查、调处、化解，重大问题移送相关部门。</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《保障农民工工资支付条例》(2019年国务院令第724号)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《山西省保障农民工工资</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支付办法》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(2021年省政府令第295号)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eastAsia="宋体"/>
                <w:sz w:val="22"/>
                <w:szCs w:val="22"/>
                <w:lang w:val="en-US" w:eastAsia="zh-CN"/>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default" w:eastAsia="宋体"/>
                <w:lang w:val="en-US" w:eastAsia="zh-CN"/>
              </w:rPr>
            </w:pPr>
            <w:r>
              <w:rPr>
                <w:rFonts w:hint="eastAsia"/>
                <w:spacing w:val="-3"/>
                <w:lang w:val="en-US" w:eastAsia="zh-CN"/>
              </w:rPr>
              <w:t>64</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43" w:lineRule="auto"/>
              <w:jc w:val="center"/>
              <w:textAlignment w:val="baseline"/>
            </w:pPr>
            <w:r>
              <w:rPr>
                <w:rFonts w:hint="eastAsia"/>
              </w:rPr>
              <w:t>孤儿、事实无人抚养儿童保障和农村留守儿童关爱保护；收养登记办理有关事宜</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民政部门负责孤儿、事实无人抚养儿童保障工作；牵头负责农村留守儿童关爱保护工作；办理中国公民收养登记手续；履行临时监护职责</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负责对孤儿、事实无人抚养儿童保障资格的审核转报，协助落实孤儿、事实无人抚养儿童相关保障工作；负责农村留守儿童摸底排查、监护监督指导、评估帮扶，建立信息台账等工作。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《国务院办公厅关于加强孤儿保障工作的意见》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(国办发〔2010〕54号)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《国务院关于加强农村留守儿童关爱保护工作的意见》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(国发〔2016〕13号)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(民发〔2019〕62号)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《关于进一步加强事实无人抚养儿童保障工作的意见》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(晋民发〔2021〕40号)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县民政局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7" w:hRule="atLeast"/>
        </w:trPr>
        <w:tc>
          <w:tcPr>
            <w:tcW w:w="63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lang w:val="en-US" w:eastAsia="zh-CN"/>
              </w:rPr>
            </w:pPr>
            <w:r>
              <w:rPr>
                <w:spacing w:val="-3"/>
              </w:rPr>
              <w:t>6</w:t>
            </w:r>
            <w:r>
              <w:rPr>
                <w:rFonts w:hint="eastAsia"/>
                <w:spacing w:val="-3"/>
                <w:lang w:val="en-US" w:eastAsia="zh-CN"/>
              </w:rPr>
              <w:t>5</w:t>
            </w:r>
          </w:p>
        </w:tc>
        <w:tc>
          <w:tcPr>
            <w:tcW w:w="971"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民生保障</w:t>
            </w:r>
          </w:p>
        </w:tc>
        <w:tc>
          <w:tcPr>
            <w:tcW w:w="133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20" w:lineRule="auto"/>
              <w:jc w:val="center"/>
              <w:textAlignment w:val="baseline"/>
            </w:pPr>
            <w:r>
              <w:rPr>
                <w:rFonts w:hint="eastAsia"/>
              </w:rPr>
              <w:t>就业援助和职业培训</w:t>
            </w:r>
          </w:p>
        </w:tc>
        <w:tc>
          <w:tcPr>
            <w:tcW w:w="3776"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86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《就业促进法》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《就业服务与就业管理规定》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《关于进一步加强公共就业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服务体系建设的指导意见》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(人社部发〔2009〕116号)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Arial"/>
                <w:sz w:val="22"/>
                <w:szCs w:val="22"/>
                <w:lang w:val="en-US"/>
              </w:rPr>
            </w:pPr>
            <w:r>
              <w:rPr>
                <w:rFonts w:hint="eastAsia" w:eastAsia="宋体"/>
                <w:sz w:val="22"/>
                <w:szCs w:val="22"/>
                <w:lang w:val="en-US" w:eastAsia="zh-CN"/>
              </w:rPr>
              <w:t>县人力资源和社会保障局</w:t>
            </w:r>
          </w:p>
        </w:tc>
        <w:tc>
          <w:tcPr>
            <w:tcW w:w="90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22"/>
                <w:szCs w:val="22"/>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4047"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937"/>
        <w:gridCol w:w="1432"/>
        <w:gridCol w:w="3581"/>
        <w:gridCol w:w="3267"/>
        <w:gridCol w:w="2682"/>
        <w:gridCol w:w="6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4"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6</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8" w:line="220" w:lineRule="auto"/>
              <w:jc w:val="center"/>
              <w:textAlignment w:val="baseline"/>
              <w:rPr>
                <w:sz w:val="22"/>
                <w:szCs w:val="22"/>
              </w:rPr>
            </w:pPr>
            <w:r>
              <w:rPr>
                <w:rFonts w:hint="eastAsia"/>
                <w:sz w:val="22"/>
                <w:szCs w:val="22"/>
              </w:rPr>
              <w:t>最低生活保障、特困人员救助供养、临时救助和因病致贫重病患者认定</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民政部门负责制定低保、特困供养、临时救助和因病致贫重病患者认定等相关政策；负责对乡镇社会救助经办服务人员进行业务培训；对</w:t>
            </w:r>
            <w:r>
              <w:rPr>
                <w:rFonts w:hint="eastAsia"/>
                <w:spacing w:val="-4"/>
                <w:lang w:eastAsia="zh-CN"/>
              </w:rPr>
              <w:t>乡镇（街道）</w:t>
            </w:r>
            <w:r>
              <w:rPr>
                <w:spacing w:val="-4"/>
              </w:rPr>
              <w:t>报送的救助对象进行审核确认，已将低保，特困供养和临时救助等救助审核确认权限下放至</w:t>
            </w:r>
            <w:r>
              <w:rPr>
                <w:rFonts w:hint="eastAsia"/>
                <w:spacing w:val="-4"/>
                <w:lang w:eastAsia="zh-CN"/>
              </w:rPr>
              <w:t>乡镇（街道）</w:t>
            </w:r>
            <w:r>
              <w:rPr>
                <w:spacing w:val="-4"/>
              </w:rPr>
              <w:t>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《中共中央办公厅、国务院办公厅关于改革完善社会救助制度的意见》</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(中办发2020〕18号)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《社会救助暂行办法》</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(国务院令第649号，2019年修订)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《山西省民政厅、山西省财</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政厅、山西省医疗保障局关</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于印发〈因病致贫重病患者</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认定办法(试行)〉的通知》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(晋民规发〔2023〕5号)</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县民政局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pacing w:val="5"/>
                <w:sz w:val="22"/>
                <w:szCs w:val="22"/>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1" w:hRule="atLeast"/>
        </w:trPr>
        <w:tc>
          <w:tcPr>
            <w:tcW w:w="6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sz w:val="22"/>
                <w:szCs w:val="22"/>
                <w:lang w:val="en-US" w:eastAsia="zh-CN"/>
              </w:rPr>
            </w:pPr>
            <w:r>
              <w:rPr>
                <w:spacing w:val="-3"/>
                <w:sz w:val="22"/>
                <w:szCs w:val="22"/>
              </w:rPr>
              <w:t>6</w:t>
            </w:r>
            <w:r>
              <w:rPr>
                <w:rFonts w:hint="eastAsia"/>
                <w:spacing w:val="-3"/>
                <w:sz w:val="22"/>
                <w:szCs w:val="22"/>
                <w:lang w:val="en-US" w:eastAsia="zh-CN"/>
              </w:rPr>
              <w:t>7</w:t>
            </w:r>
          </w:p>
        </w:tc>
        <w:tc>
          <w:tcPr>
            <w:tcW w:w="937"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2"/>
                <w:sz w:val="22"/>
                <w:szCs w:val="22"/>
              </w:rPr>
              <w:t>民生保障</w:t>
            </w:r>
          </w:p>
        </w:tc>
        <w:tc>
          <w:tcPr>
            <w:tcW w:w="143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3" w:lineRule="auto"/>
              <w:ind w:right="75"/>
              <w:jc w:val="center"/>
              <w:textAlignment w:val="baseline"/>
              <w:rPr>
                <w:sz w:val="22"/>
                <w:szCs w:val="22"/>
              </w:rPr>
            </w:pPr>
            <w:r>
              <w:rPr>
                <w:rFonts w:hint="eastAsia"/>
                <w:sz w:val="22"/>
                <w:szCs w:val="22"/>
              </w:rPr>
              <w:t>流动人口管理</w:t>
            </w:r>
          </w:p>
        </w:tc>
        <w:tc>
          <w:tcPr>
            <w:tcW w:w="358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公安部门负责对流动人口进行登记，开展出租房屋治安检查，及时查处和打击出租房屋中的违法犯罪活动。</w:t>
            </w:r>
          </w:p>
        </w:tc>
        <w:tc>
          <w:tcPr>
            <w:tcW w:w="326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19" w:lineRule="auto"/>
              <w:jc w:val="both"/>
              <w:textAlignment w:val="baseline"/>
              <w:rPr>
                <w:spacing w:val="-4"/>
              </w:rPr>
            </w:pPr>
          </w:p>
          <w:p>
            <w:pPr>
              <w:pStyle w:val="7"/>
              <w:keepNext w:val="0"/>
              <w:keepLines w:val="0"/>
              <w:pageBreakBefore w:val="0"/>
              <w:widowControl/>
              <w:kinsoku/>
              <w:wordWrap/>
              <w:overflowPunct w:val="0"/>
              <w:topLinePunct w:val="0"/>
              <w:autoSpaceDE w:val="0"/>
              <w:autoSpaceDN w:val="0"/>
              <w:bidi w:val="0"/>
              <w:adjustRightInd w:val="0"/>
              <w:snapToGrid w:val="0"/>
              <w:spacing w:line="219" w:lineRule="auto"/>
              <w:ind w:firstLine="444" w:firstLineChars="200"/>
              <w:jc w:val="both"/>
              <w:textAlignment w:val="baseline"/>
              <w:rPr>
                <w:spacing w:val="-4"/>
              </w:rPr>
            </w:pPr>
            <w:r>
              <w:rPr>
                <w:spacing w:val="-4"/>
              </w:rPr>
              <w:t>做好辖区内流动人口及出租房屋的综合管理，发现问题及时上报。</w:t>
            </w:r>
          </w:p>
        </w:tc>
        <w:tc>
          <w:tcPr>
            <w:tcW w:w="268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both"/>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《关于进一步加强和改进出租房屋管理工作有关问题的通知》</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(公通字〔2004〕83号)</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《山西省流动人口服务管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Arial"/>
                <w:sz w:val="22"/>
                <w:szCs w:val="22"/>
              </w:rPr>
            </w:pPr>
            <w:r>
              <w:rPr>
                <w:rFonts w:ascii="Arial"/>
                <w:sz w:val="22"/>
                <w:szCs w:val="22"/>
              </w:rPr>
              <w:t>理办法》</w:t>
            </w:r>
          </w:p>
        </w:tc>
        <w:tc>
          <w:tcPr>
            <w:tcW w:w="6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县公安局</w:t>
            </w:r>
          </w:p>
        </w:tc>
        <w:tc>
          <w:tcPr>
            <w:tcW w:w="9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599" w:type="dxa"/>
        <w:tblInd w:w="7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5"/>
        <w:gridCol w:w="1039"/>
        <w:gridCol w:w="1279"/>
        <w:gridCol w:w="3408"/>
        <w:gridCol w:w="3277"/>
        <w:gridCol w:w="2546"/>
        <w:gridCol w:w="687"/>
        <w:gridCol w:w="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5"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default" w:eastAsia="宋体"/>
                <w:lang w:val="en-US" w:eastAsia="zh-CN"/>
              </w:rPr>
            </w:pPr>
            <w:r>
              <w:rPr>
                <w:rFonts w:hint="eastAsia"/>
                <w:lang w:val="en-US" w:eastAsia="zh-CN"/>
              </w:rPr>
              <w:t>68</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33" w:line="224" w:lineRule="auto"/>
              <w:jc w:val="center"/>
              <w:textAlignment w:val="baseline"/>
            </w:pPr>
            <w:r>
              <w:rPr>
                <w:rFonts w:hint="eastAsia"/>
              </w:rPr>
              <w:t>传染病防控及突发公共卫生事件应急处置</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47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卫生健康、疾病预防控制部门按</w:t>
            </w:r>
            <w:r>
              <w:rPr>
                <w:spacing w:val="-3"/>
              </w:rPr>
              <w:t>职责分工负责传染病预防控制规</w:t>
            </w:r>
            <w:r>
              <w:rPr>
                <w:spacing w:val="3"/>
              </w:rPr>
              <w:t>划、方案的落实，组织实施免疫，</w:t>
            </w:r>
            <w:r>
              <w:t>消毒、控制病媒生物的危害，普</w:t>
            </w:r>
            <w:r>
              <w:rPr>
                <w:spacing w:val="1"/>
              </w:rPr>
              <w:t>及传染病防治知识；负责本地区</w:t>
            </w:r>
            <w:r>
              <w:rPr>
                <w:spacing w:val="-1"/>
              </w:rPr>
              <w:t>疫情和突发公共卫生事件监测，报告、开展流行病学调查和常见病原微生物检测；负责辖区各类</w:t>
            </w:r>
            <w:r>
              <w:t>突发公共卫生事件中的疾病预防</w:t>
            </w:r>
            <w:r>
              <w:rPr>
                <w:spacing w:val="-1"/>
              </w:rPr>
              <w:t>控制和指导公众做好卫生防护工</w:t>
            </w:r>
            <w: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50"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1" w:lineRule="auto"/>
              <w:ind w:left="0" w:right="0" w:firstLine="460" w:firstLineChars="200"/>
              <w:jc w:val="both"/>
              <w:textAlignment w:val="baseline"/>
            </w:pPr>
            <w:r>
              <w:t>配合卫生健康、疾病预防控制部</w:t>
            </w:r>
            <w:r>
              <w:rPr>
                <w:spacing w:val="2"/>
              </w:rPr>
              <w:t>门做好传染病预防控制规划、方案的落实，负责本辖区疫情和突</w:t>
            </w:r>
            <w:r>
              <w:t>发公共卫生事件监测、报告，</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3"/>
              </w:rPr>
              <w:t>《动物防疫法》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spacing w:val="-1"/>
              </w:rPr>
              <w:t>《突发公共卫生事件应急</w:t>
            </w:r>
            <w:r>
              <w:rPr>
                <w:spacing w:val="-5"/>
              </w:rPr>
              <w:t>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1" w:hRule="atLeast"/>
        </w:trPr>
        <w:tc>
          <w:tcPr>
            <w:tcW w:w="41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4" w:lineRule="auto"/>
              <w:jc w:val="center"/>
              <w:textAlignment w:val="baseline"/>
              <w:rPr>
                <w:rFonts w:hint="default" w:eastAsia="宋体"/>
                <w:lang w:val="en-US" w:eastAsia="zh-CN"/>
              </w:rPr>
            </w:pPr>
            <w:r>
              <w:rPr>
                <w:rFonts w:hint="eastAsia"/>
                <w:lang w:val="en-US" w:eastAsia="zh-CN"/>
              </w:rPr>
              <w:t>69</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2"/>
              </w:rPr>
              <w:t>卫生健康</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51" w:line="229" w:lineRule="auto"/>
              <w:jc w:val="center"/>
              <w:textAlignment w:val="baseline"/>
            </w:pPr>
            <w:r>
              <w:rPr>
                <w:rFonts w:hint="eastAsia"/>
              </w:rPr>
              <w:t>生活饮用水卫生监督管理</w:t>
            </w:r>
          </w:p>
        </w:tc>
        <w:tc>
          <w:tcPr>
            <w:tcW w:w="340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43" w:lineRule="auto"/>
              <w:ind w:left="0" w:right="0" w:firstLine="460" w:firstLineChars="200"/>
              <w:jc w:val="both"/>
              <w:textAlignment w:val="baseline"/>
            </w:pPr>
            <w:r>
              <w:t>水行政主管部门主管本行政区域内城镇饮用水卫生管理工作，卫</w:t>
            </w:r>
            <w:r>
              <w:rPr>
                <w:spacing w:val="1"/>
              </w:rPr>
              <w:t>生健康、疾病预防控制部门负责</w:t>
            </w:r>
            <w:r>
              <w:rPr>
                <w:spacing w:val="7"/>
              </w:rPr>
              <w:t>本行政区域内自建集中式供水、</w:t>
            </w:r>
            <w:r>
              <w:t>二次供水、现制现售饮用水、农村公共供水的卫生监督管理工</w:t>
            </w:r>
            <w:r>
              <w:rPr>
                <w:spacing w:val="-1"/>
              </w:rPr>
              <w:t>作。</w:t>
            </w:r>
          </w:p>
        </w:tc>
        <w:tc>
          <w:tcPr>
            <w:tcW w:w="327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2" w:lineRule="auto"/>
              <w:ind w:right="0"/>
              <w:jc w:val="both"/>
              <w:textAlignment w:val="baseline"/>
              <w:rPr>
                <w:rFonts w:ascii="Arial"/>
                <w:sz w:val="21"/>
              </w:rPr>
            </w:pPr>
          </w:p>
          <w:p>
            <w:pPr>
              <w:pStyle w:val="7"/>
              <w:keepNext w:val="0"/>
              <w:keepLines w:val="0"/>
              <w:pageBreakBefore w:val="0"/>
              <w:widowControl/>
              <w:kinsoku/>
              <w:wordWrap/>
              <w:overflowPunct w:val="0"/>
              <w:topLinePunct w:val="0"/>
              <w:autoSpaceDE w:val="0"/>
              <w:autoSpaceDN w:val="0"/>
              <w:bidi w:val="0"/>
              <w:adjustRightInd w:val="0"/>
              <w:snapToGrid w:val="0"/>
              <w:spacing w:line="236" w:lineRule="auto"/>
              <w:ind w:left="0" w:right="0" w:firstLine="460" w:firstLineChars="200"/>
              <w:jc w:val="both"/>
              <w:textAlignment w:val="baseline"/>
            </w:pPr>
            <w:r>
              <w:t>发现并及时报告辖区内生活饮</w:t>
            </w:r>
            <w:r>
              <w:rPr>
                <w:spacing w:val="-1"/>
              </w:rPr>
              <w:t>用水违法行为和安全事件，配合有关部门查处违法行为和安全</w:t>
            </w:r>
            <w:r>
              <w:rPr>
                <w:spacing w:val="1"/>
              </w:rPr>
              <w:t>事件调查，协助做好辖区内饮用水卫生安全应急处置工作。</w:t>
            </w:r>
          </w:p>
        </w:tc>
        <w:tc>
          <w:tcPr>
            <w:tcW w:w="254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pPr>
            <w:r>
              <w:rPr>
                <w:spacing w:val="-4"/>
              </w:rPr>
              <w:t>《水法》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jc w:val="center"/>
              <w:textAlignment w:val="baseline"/>
            </w:pPr>
            <w:r>
              <w:rPr>
                <w:spacing w:val="-2"/>
              </w:rPr>
              <w:t>《城市供水条例》</w:t>
            </w:r>
          </w:p>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jc w:val="center"/>
              <w:textAlignment w:val="baseline"/>
            </w:pPr>
            <w:r>
              <w:rPr>
                <w:spacing w:val="-1"/>
              </w:rPr>
              <w:t>《生活饮用水卫生监督管</w:t>
            </w:r>
            <w:r>
              <w:rPr>
                <w:spacing w:val="-3"/>
              </w:rPr>
              <w:t>理办法</w:t>
            </w:r>
            <w:r>
              <w:rPr>
                <w:spacing w:val="-2"/>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县卫生健康局</w:t>
            </w:r>
          </w:p>
        </w:tc>
        <w:tc>
          <w:tcPr>
            <w:tcW w:w="94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90" w:type="dxa"/>
        <w:tblInd w:w="7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868"/>
        <w:gridCol w:w="659"/>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0</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4" w:line="225" w:lineRule="auto"/>
              <w:jc w:val="center"/>
              <w:textAlignment w:val="baseline"/>
            </w:pPr>
            <w:r>
              <w:rPr>
                <w:rFonts w:hint="eastAsia"/>
              </w:rPr>
              <w:t>对职业病防治的监管执法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w:t>
            </w:r>
            <w:r>
              <w:rPr>
                <w:rFonts w:hint="eastAsia" w:eastAsia="宋体"/>
                <w:sz w:val="21"/>
                <w:lang w:eastAsia="zh-CN"/>
              </w:rPr>
              <w:t>乡镇（街道）</w:t>
            </w:r>
            <w:r>
              <w:rPr>
                <w:rFonts w:ascii="Arial"/>
                <w:sz w:val="21"/>
              </w:rPr>
              <w:t>对安排未经职业健康检查的劳动者等人群从事接触职业病危害的作业或者禁忌作业等赋权事项进行行政处罚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《关于印发&lt;加强农民工尘肺</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病防治工作的意见&gt;的通知》</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(国卫疾控发〔2016〕2号)</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《职业健康检查管理办法》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r>
              <w:rPr>
                <w:spacing w:val="-2"/>
              </w:rPr>
              <w:t>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县卫生健康局等</w:t>
            </w:r>
            <w:r>
              <w:rPr>
                <w:rFonts w:hint="eastAsia" w:eastAsia="宋体"/>
                <w:color w:val="auto"/>
                <w:sz w:val="21"/>
                <w:lang w:val="en-US" w:eastAsia="zh-CN"/>
              </w:rPr>
              <w:t>相关部门</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183" w:lineRule="auto"/>
              <w:jc w:val="center"/>
              <w:textAlignment w:val="baseline"/>
              <w:rPr>
                <w:rFonts w:hint="eastAsia" w:eastAsia="宋体"/>
                <w:lang w:val="en-US" w:eastAsia="zh-CN"/>
              </w:rPr>
            </w:pPr>
            <w:r>
              <w:rPr>
                <w:spacing w:val="-4"/>
              </w:rPr>
              <w:t>7</w:t>
            </w:r>
            <w:r>
              <w:rPr>
                <w:rFonts w:hint="eastAsia"/>
                <w:spacing w:val="-4"/>
                <w:lang w:val="en-US" w:eastAsia="zh-CN"/>
              </w:rPr>
              <w:t>1</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19" w:lineRule="auto"/>
              <w:jc w:val="center"/>
              <w:textAlignment w:val="baseline"/>
            </w:pPr>
            <w:r>
              <w:rPr>
                <w:spacing w:val="2"/>
              </w:rPr>
              <w:t>卫生健康</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jc w:val="center"/>
              <w:textAlignment w:val="baseline"/>
            </w:pPr>
            <w:r>
              <w:rPr>
                <w:rFonts w:hint="eastAsia"/>
              </w:rPr>
              <w:t>对公共场所卫生的监管执法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协助卫生健康部门做好公共场所卫生监督工作，对辖区内公共场所进行日常巡查，发现问题及时督促整改并上报卫生健康部门，协助卫生健康部门做好公共场所卫生监督执法相关工作。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《传染病防治法》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《公共场所卫生管理条例实施细则》</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《关于做好卫生监督协管服务工作的指导意见》</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(卫监督发〔2011〕82号)</w:t>
            </w:r>
          </w:p>
        </w:tc>
        <w:tc>
          <w:tcPr>
            <w:tcW w:w="659"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县卫生健康局</w:t>
            </w:r>
          </w:p>
        </w:tc>
        <w:tc>
          <w:tcPr>
            <w:tcW w:w="83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09" w:type="dxa"/>
        <w:tblInd w:w="8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68"/>
        <w:gridCol w:w="2655"/>
        <w:gridCol w:w="675"/>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5"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3" w:lineRule="auto"/>
              <w:jc w:val="center"/>
              <w:textAlignment w:val="baseline"/>
              <w:rPr>
                <w:rFonts w:hint="eastAsia" w:eastAsia="宋体"/>
                <w:lang w:val="en-US" w:eastAsia="zh-CN"/>
              </w:rPr>
            </w:pPr>
            <w:r>
              <w:rPr>
                <w:spacing w:val="-4"/>
              </w:rPr>
              <w:t>7</w:t>
            </w:r>
            <w:r>
              <w:rPr>
                <w:rFonts w:hint="eastAsia"/>
                <w:spacing w:val="-4"/>
                <w:lang w:val="en-US" w:eastAsia="zh-CN"/>
              </w:rPr>
              <w:t>2</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39" w:lineRule="auto"/>
              <w:ind w:right="85"/>
              <w:jc w:val="center"/>
              <w:textAlignment w:val="baseline"/>
            </w:pPr>
            <w:r>
              <w:rPr>
                <w:rFonts w:hint="eastAsia"/>
              </w:rPr>
              <w:t>文物保护及管理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文物主管部门做好本区域内文物安全工作指导和监督，组织开展文物行政执法督察和安全检查；依法依</w:t>
            </w:r>
            <w:r>
              <w:rPr>
                <w:rFonts w:hint="eastAsia" w:eastAsia="宋体"/>
                <w:sz w:val="21"/>
                <w:lang w:val="en-US" w:eastAsia="zh-CN"/>
              </w:rPr>
              <w:t>规</w:t>
            </w:r>
            <w:r>
              <w:rPr>
                <w:rFonts w:ascii="Arial"/>
                <w:sz w:val="21"/>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加强文物安全巡视巡查，发现或收到问题线索及时上报有关部门，协助进行日常维护及管理。</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《文物保护法实施条例》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《中共中央办公厅、国务院办公厅关于加强文物保护利用改革的若干意见》</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2" w:lineRule="auto"/>
              <w:jc w:val="center"/>
              <w:textAlignment w:val="baseline"/>
              <w:rPr>
                <w:rFonts w:hint="eastAsia" w:eastAsia="宋体"/>
                <w:lang w:val="en-US" w:eastAsia="zh-CN"/>
              </w:rPr>
            </w:pPr>
            <w:r>
              <w:rPr>
                <w:spacing w:val="-4"/>
              </w:rPr>
              <w:t>7</w:t>
            </w:r>
            <w:r>
              <w:rPr>
                <w:rFonts w:hint="eastAsia"/>
                <w:spacing w:val="-4"/>
                <w:lang w:val="en-US" w:eastAsia="zh-CN"/>
              </w:rPr>
              <w:t>3</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20" w:lineRule="auto"/>
              <w:jc w:val="center"/>
              <w:textAlignment w:val="baseline"/>
            </w:pPr>
            <w:r>
              <w:rPr>
                <w:spacing w:val="2"/>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49" w:line="219" w:lineRule="auto"/>
              <w:jc w:val="center"/>
              <w:textAlignment w:val="baseline"/>
            </w:pPr>
            <w:r>
              <w:rPr>
                <w:rFonts w:hint="eastAsia"/>
              </w:rPr>
              <w:t>对互联网上网服务营业场所及娱乐场所的监管执法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文化旅游、市场监管、公安、应急管理等部门按照职责分工，做好对文艺演出、文化娱乐、互联网文化等娱乐场所的监管工作。指导</w:t>
            </w:r>
            <w:r>
              <w:rPr>
                <w:rFonts w:hint="eastAsia" w:eastAsia="宋体"/>
                <w:sz w:val="21"/>
                <w:lang w:eastAsia="zh-CN"/>
              </w:rPr>
              <w:t>乡镇（街道）</w:t>
            </w:r>
            <w:r>
              <w:rPr>
                <w:rFonts w:ascii="Arial"/>
                <w:sz w:val="21"/>
              </w:rPr>
              <w:t>对互联网上网服务营业场所及娱乐场所超时经营、未按规定接纳未成年人等赋权事项进行行政处罚。</w:t>
            </w:r>
          </w:p>
        </w:tc>
        <w:tc>
          <w:tcPr>
            <w:tcW w:w="3268"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对辖区内互联网上网服务营业场所、娱乐场所进行巡查，对违规行为进行劝告制止，根据赋权事项要求做好执法和案件查处相关工作，同时上报有关部门。</w:t>
            </w:r>
          </w:p>
        </w:tc>
        <w:tc>
          <w:tcPr>
            <w:tcW w:w="265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both"/>
              <w:textAlignment w:val="baseline"/>
              <w:rPr>
                <w:spacing w:val="-2"/>
              </w:rPr>
            </w:pP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《互联网上网服务营业场所管理条例》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《娱乐场所管理条例》</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sz w:val="22"/>
                <w:szCs w:val="22"/>
              </w:rPr>
            </w:pPr>
            <w:r>
              <w:rPr>
                <w:spacing w:val="-2"/>
                <w:sz w:val="22"/>
                <w:szCs w:val="22"/>
              </w:rPr>
              <w:t>《山西省人民政府关于向乡镇人民政府和办事处下放部分行政执法职权的决定》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pacing w:val="-2"/>
              </w:rPr>
            </w:pPr>
            <w:r>
              <w:rPr>
                <w:spacing w:val="-2"/>
              </w:rPr>
              <w:t>(晋政发〔2022〕22号)</w:t>
            </w:r>
          </w:p>
        </w:tc>
        <w:tc>
          <w:tcPr>
            <w:tcW w:w="67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县文化和旅游局等</w:t>
            </w:r>
            <w:r>
              <w:rPr>
                <w:rFonts w:hint="eastAsia" w:eastAsia="宋体"/>
                <w:color w:val="auto"/>
                <w:sz w:val="21"/>
                <w:lang w:val="en-US" w:eastAsia="zh-CN"/>
              </w:rPr>
              <w:t>相关部门</w:t>
            </w:r>
          </w:p>
        </w:tc>
        <w:tc>
          <w:tcPr>
            <w:tcW w:w="851"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785" w:type="dxa"/>
        <w:tblInd w:w="6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39"/>
        <w:gridCol w:w="1279"/>
        <w:gridCol w:w="3417"/>
        <w:gridCol w:w="3257"/>
        <w:gridCol w:w="2878"/>
        <w:gridCol w:w="650"/>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4"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3" w:lineRule="auto"/>
              <w:jc w:val="center"/>
              <w:textAlignment w:val="baseline"/>
              <w:rPr>
                <w:rFonts w:hint="eastAsia" w:eastAsia="宋体"/>
                <w:lang w:val="en-US" w:eastAsia="zh-CN"/>
              </w:rPr>
            </w:pPr>
            <w:r>
              <w:rPr>
                <w:spacing w:val="-4"/>
              </w:rPr>
              <w:t>7</w:t>
            </w:r>
            <w:r>
              <w:rPr>
                <w:rFonts w:hint="eastAsia"/>
                <w:spacing w:val="-4"/>
                <w:lang w:val="en-US" w:eastAsia="zh-CN"/>
              </w:rPr>
              <w:t>4</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5" w:line="220" w:lineRule="auto"/>
              <w:jc w:val="center"/>
              <w:textAlignment w:val="baseline"/>
            </w:pPr>
            <w:r>
              <w:rPr>
                <w:spacing w:val="2"/>
              </w:rPr>
              <w:t>文化旅游</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对宗教团体、宗教活动场所的监管执法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对宗教活动场所、宗教临时活动地点、民间信仰活动场所进行日常巡查，协助主管部门做好监管执法相关工作。</w:t>
            </w:r>
          </w:p>
        </w:tc>
        <w:tc>
          <w:tcPr>
            <w:tcW w:w="2878" w:type="dxa"/>
            <w:vAlign w:val="top"/>
          </w:tcPr>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89"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90" w:lineRule="auto"/>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75" w:line="216" w:lineRule="auto"/>
              <w:ind w:left="512"/>
              <w:textAlignment w:val="baseline"/>
            </w:pPr>
            <w:r>
              <w:rPr>
                <w:spacing w:val="-3"/>
              </w:rPr>
              <w:t>《宗教事务条例》</w:t>
            </w:r>
          </w:p>
          <w:p>
            <w:pPr>
              <w:pStyle w:val="7"/>
              <w:keepNext w:val="0"/>
              <w:keepLines w:val="0"/>
              <w:pageBreakBefore w:val="0"/>
              <w:widowControl/>
              <w:kinsoku w:val="0"/>
              <w:wordWrap/>
              <w:overflowPunct w:val="0"/>
              <w:topLinePunct/>
              <w:autoSpaceDE w:val="0"/>
              <w:autoSpaceDN w:val="0"/>
              <w:bidi w:val="0"/>
              <w:adjustRightInd w:val="0"/>
              <w:snapToGrid w:val="0"/>
              <w:spacing w:line="218" w:lineRule="auto"/>
              <w:ind w:left="52"/>
              <w:textAlignment w:val="baseline"/>
            </w:pPr>
            <w:r>
              <w:rPr>
                <w:spacing w:val="-2"/>
              </w:rPr>
              <w:t>《社会团体登记管理条例》</w:t>
            </w:r>
          </w:p>
          <w:p>
            <w:pPr>
              <w:pStyle w:val="7"/>
              <w:keepNext w:val="0"/>
              <w:keepLines w:val="0"/>
              <w:pageBreakBefore w:val="0"/>
              <w:widowControl/>
              <w:kinsoku w:val="0"/>
              <w:wordWrap/>
              <w:overflowPunct w:val="0"/>
              <w:topLinePunct/>
              <w:autoSpaceDE w:val="0"/>
              <w:autoSpaceDN w:val="0"/>
              <w:bidi w:val="0"/>
              <w:adjustRightInd w:val="0"/>
              <w:snapToGrid w:val="0"/>
              <w:spacing w:before="48" w:line="219" w:lineRule="auto"/>
              <w:ind w:left="282"/>
              <w:textAlignment w:val="baseline"/>
            </w:pPr>
            <w:r>
              <w:rPr>
                <w:spacing w:val="-2"/>
              </w:rPr>
              <w:t>《宗教团体管理办法》</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52"/>
              <w:textAlignment w:val="baseline"/>
            </w:pPr>
            <w:r>
              <w:rPr>
                <w:spacing w:val="-2"/>
              </w:rPr>
              <w:t>《宗教活动场所管理办法》</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112"/>
              <w:textAlignment w:val="baseline"/>
            </w:pPr>
            <w:r>
              <w:rPr>
                <w:spacing w:val="-2"/>
              </w:rPr>
              <w:t>《宗教临时活动地点审批</w:t>
            </w:r>
          </w:p>
          <w:p>
            <w:pPr>
              <w:pStyle w:val="7"/>
              <w:keepNext w:val="0"/>
              <w:keepLines w:val="0"/>
              <w:pageBreakBefore w:val="0"/>
              <w:widowControl/>
              <w:kinsoku w:val="0"/>
              <w:wordWrap/>
              <w:overflowPunct w:val="0"/>
              <w:topLinePunct/>
              <w:autoSpaceDE w:val="0"/>
              <w:autoSpaceDN w:val="0"/>
              <w:bidi w:val="0"/>
              <w:adjustRightInd w:val="0"/>
              <w:snapToGrid w:val="0"/>
              <w:spacing w:before="17" w:line="219" w:lineRule="auto"/>
              <w:ind w:left="918"/>
              <w:textAlignment w:val="baseline"/>
            </w:pPr>
            <w:r>
              <w:rPr>
                <w:spacing w:val="-4"/>
              </w:rPr>
              <w:t>管理办法》</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ind w:left="172"/>
              <w:textAlignment w:val="baseline"/>
            </w:pPr>
            <w:r>
              <w:rPr>
                <w:spacing w:val="-2"/>
              </w:rPr>
              <w:t>《山西省宗教事务条例》</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县委统一战线工作部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1"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182" w:lineRule="auto"/>
              <w:jc w:val="center"/>
              <w:textAlignment w:val="baseline"/>
              <w:rPr>
                <w:rFonts w:hint="eastAsia" w:eastAsia="宋体"/>
                <w:lang w:val="en-US" w:eastAsia="zh-CN"/>
              </w:rPr>
            </w:pPr>
            <w:r>
              <w:rPr>
                <w:spacing w:val="-4"/>
              </w:rPr>
              <w:t>7</w:t>
            </w:r>
            <w:r>
              <w:rPr>
                <w:rFonts w:hint="eastAsia"/>
                <w:spacing w:val="-4"/>
                <w:lang w:val="en-US" w:eastAsia="zh-CN"/>
              </w:rPr>
              <w:t>5</w:t>
            </w:r>
          </w:p>
        </w:tc>
        <w:tc>
          <w:tcPr>
            <w:tcW w:w="103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4" w:line="219" w:lineRule="auto"/>
              <w:jc w:val="center"/>
              <w:textAlignment w:val="baseline"/>
            </w:pPr>
            <w:r>
              <w:rPr>
                <w:spacing w:val="2"/>
              </w:rPr>
              <w:t>交通运输</w:t>
            </w:r>
          </w:p>
        </w:tc>
        <w:tc>
          <w:tcPr>
            <w:tcW w:w="127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15" w:line="219" w:lineRule="auto"/>
              <w:jc w:val="center"/>
              <w:textAlignment w:val="baseline"/>
            </w:pPr>
            <w:r>
              <w:rPr>
                <w:rFonts w:hint="eastAsia"/>
              </w:rPr>
              <w:t>道路交通领域安全的监管执法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eastAsia="zh-CN"/>
              </w:rPr>
            </w:pPr>
            <w:r>
              <w:rPr>
                <w:rFonts w:ascii="Arial"/>
                <w:sz w:val="21"/>
              </w:rPr>
              <w:t>公安交警、交通运输等部门按照职责分工负责道路交通领域安全监督管理，组织开展道路交通领域安全生产隐患排查、联合执法，依法查处随意开口等影响交通安全行为。指导</w:t>
            </w:r>
            <w:r>
              <w:rPr>
                <w:rFonts w:hint="eastAsia" w:eastAsia="宋体"/>
                <w:sz w:val="21"/>
                <w:lang w:eastAsia="zh-CN"/>
              </w:rPr>
              <w:t>乡镇（街道）</w:t>
            </w:r>
            <w:r>
              <w:rPr>
                <w:rFonts w:ascii="Arial"/>
                <w:sz w:val="21"/>
              </w:rPr>
              <w:t>对在公路建筑控制区内及公路建筑控制区外影响交通安全等赋权事项进行行政处罚</w:t>
            </w:r>
            <w:r>
              <w:rPr>
                <w:rFonts w:hint="eastAsia" w:eastAsia="宋体"/>
                <w:sz w:val="21"/>
                <w:lang w:eastAsia="zh-CN"/>
              </w:rPr>
              <w:t>。</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87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2" w:lineRule="auto"/>
              <w:jc w:val="both"/>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243" w:lineRule="auto"/>
              <w:ind w:left="0"/>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2"/>
              </w:rPr>
              <w:t>《公路安全保护条例》</w:t>
            </w:r>
          </w:p>
          <w:p>
            <w:pPr>
              <w:pStyle w:val="7"/>
              <w:keepNext w:val="0"/>
              <w:keepLines w:val="0"/>
              <w:pageBreakBefore w:val="0"/>
              <w:widowControl/>
              <w:kinsoku w:val="0"/>
              <w:wordWrap/>
              <w:overflowPunct w:val="0"/>
              <w:topLinePunct/>
              <w:autoSpaceDE w:val="0"/>
              <w:autoSpaceDN w:val="0"/>
              <w:bidi w:val="0"/>
              <w:adjustRightInd w:val="0"/>
              <w:snapToGrid w:val="0"/>
              <w:spacing w:line="219" w:lineRule="auto"/>
              <w:ind w:left="0"/>
              <w:jc w:val="center"/>
              <w:textAlignment w:val="baseline"/>
            </w:pPr>
            <w:r>
              <w:rPr>
                <w:spacing w:val="-4"/>
              </w:rPr>
              <w:t>《山西省人民政府关于向乡</w:t>
            </w:r>
          </w:p>
          <w:p>
            <w:pPr>
              <w:pStyle w:val="7"/>
              <w:keepNext w:val="0"/>
              <w:keepLines w:val="0"/>
              <w:pageBreakBefore w:val="0"/>
              <w:widowControl/>
              <w:kinsoku w:val="0"/>
              <w:wordWrap/>
              <w:overflowPunct w:val="0"/>
              <w:topLinePunct/>
              <w:autoSpaceDE w:val="0"/>
              <w:autoSpaceDN w:val="0"/>
              <w:bidi w:val="0"/>
              <w:adjustRightInd w:val="0"/>
              <w:snapToGrid w:val="0"/>
              <w:spacing w:line="217" w:lineRule="auto"/>
              <w:ind w:left="0"/>
              <w:jc w:val="center"/>
              <w:textAlignment w:val="baseline"/>
            </w:pPr>
            <w:r>
              <w:rPr>
                <w:spacing w:val="1"/>
              </w:rPr>
              <w:t>镇人民政府和办事处下</w:t>
            </w:r>
            <w:r>
              <w:rPr>
                <w:spacing w:val="-11"/>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ind w:left="0"/>
              <w:jc w:val="center"/>
              <w:textAlignment w:val="baseline"/>
            </w:pPr>
            <w:r>
              <w:rPr>
                <w:spacing w:val="3"/>
              </w:rPr>
              <w:t>(晋政发〔2022〕22号)</w:t>
            </w:r>
          </w:p>
        </w:tc>
        <w:tc>
          <w:tcPr>
            <w:tcW w:w="65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sz w:val="22"/>
                <w:szCs w:val="22"/>
                <w:lang w:val="en-US" w:eastAsia="zh-CN"/>
              </w:rPr>
              <w:t>县交通运输局</w:t>
            </w:r>
            <w:r>
              <w:rPr>
                <w:rFonts w:hint="eastAsia" w:eastAsia="宋体"/>
                <w:color w:val="auto"/>
                <w:sz w:val="21"/>
                <w:lang w:val="en-US" w:eastAsia="zh-CN"/>
              </w:rPr>
              <w:t>等相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color w:val="auto"/>
                <w:sz w:val="21"/>
                <w:lang w:val="en-US" w:eastAsia="zh-CN"/>
              </w:rPr>
            </w:pPr>
            <w:r>
              <w:rPr>
                <w:rFonts w:hint="eastAsia" w:eastAsia="宋体"/>
                <w:color w:val="auto"/>
                <w:sz w:val="21"/>
                <w:lang w:val="en-US" w:eastAsia="zh-CN"/>
              </w:rPr>
              <w:t>关部</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color w:val="auto"/>
                <w:sz w:val="21"/>
                <w:lang w:val="en-US" w:eastAsia="zh-CN"/>
              </w:rPr>
              <w:t>门</w:t>
            </w:r>
          </w:p>
        </w:tc>
        <w:tc>
          <w:tcPr>
            <w:tcW w:w="84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805" w:type="dxa"/>
        <w:tblInd w:w="7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029"/>
        <w:gridCol w:w="1289"/>
        <w:gridCol w:w="3417"/>
        <w:gridCol w:w="3257"/>
        <w:gridCol w:w="2868"/>
        <w:gridCol w:w="660"/>
        <w:gridCol w:w="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6</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交通运输</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27" w:lineRule="auto"/>
              <w:ind w:right="83"/>
              <w:jc w:val="center"/>
              <w:textAlignment w:val="baseline"/>
              <w:rPr>
                <w:sz w:val="22"/>
                <w:szCs w:val="22"/>
              </w:rPr>
            </w:pPr>
            <w:r>
              <w:rPr>
                <w:rFonts w:hint="eastAsia"/>
                <w:sz w:val="22"/>
                <w:szCs w:val="22"/>
              </w:rPr>
              <w:t>治理非法营运执法</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交通管理部门负责对长途汽车客运站和公交枢纽等交通运输站及周边出租车的违法行为的查处。公安机关交通管理部门负责无牌无证假牌假证超员等严重违法行为的查处。</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负责在辖区内开展安全隐患排查、非法营运信息报告、宣传教育工作，发现问题根据赋权事项要求做好执法工作并及时上报有关部门。</w:t>
            </w:r>
          </w:p>
        </w:tc>
        <w:tc>
          <w:tcPr>
            <w:tcW w:w="2868"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before="30" w:line="219" w:lineRule="auto"/>
              <w:ind w:left="437"/>
              <w:textAlignment w:val="baseline"/>
              <w:rPr>
                <w:sz w:val="22"/>
                <w:szCs w:val="22"/>
              </w:rPr>
            </w:pPr>
            <w:r>
              <w:rPr>
                <w:spacing w:val="-2"/>
                <w:sz w:val="22"/>
                <w:szCs w:val="22"/>
              </w:rPr>
              <w:t>《道路交通安全法》</w:t>
            </w:r>
          </w:p>
          <w:p>
            <w:pPr>
              <w:pStyle w:val="7"/>
              <w:keepNext w:val="0"/>
              <w:keepLines w:val="0"/>
              <w:pageBreakBefore w:val="0"/>
              <w:widowControl/>
              <w:kinsoku w:val="0"/>
              <w:wordWrap/>
              <w:overflowPunct w:val="0"/>
              <w:topLinePunct/>
              <w:autoSpaceDE w:val="0"/>
              <w:autoSpaceDN w:val="0"/>
              <w:bidi w:val="0"/>
              <w:adjustRightInd w:val="0"/>
              <w:snapToGrid w:val="0"/>
              <w:spacing w:before="69" w:line="219" w:lineRule="auto"/>
              <w:ind w:left="547"/>
              <w:textAlignment w:val="baseline"/>
              <w:rPr>
                <w:sz w:val="22"/>
                <w:szCs w:val="22"/>
              </w:rPr>
            </w:pPr>
            <w:r>
              <w:rPr>
                <w:spacing w:val="-2"/>
                <w:sz w:val="22"/>
                <w:szCs w:val="22"/>
              </w:rPr>
              <w:t>《道路运输条例》</w:t>
            </w:r>
          </w:p>
          <w:p>
            <w:pPr>
              <w:pStyle w:val="7"/>
              <w:keepNext w:val="0"/>
              <w:keepLines w:val="0"/>
              <w:pageBreakBefore w:val="0"/>
              <w:widowControl/>
              <w:kinsoku w:val="0"/>
              <w:wordWrap/>
              <w:overflowPunct w:val="0"/>
              <w:topLinePunct/>
              <w:autoSpaceDE w:val="0"/>
              <w:autoSpaceDN w:val="0"/>
              <w:bidi w:val="0"/>
              <w:adjustRightInd w:val="0"/>
              <w:snapToGrid w:val="0"/>
              <w:spacing w:before="39" w:line="219" w:lineRule="auto"/>
              <w:jc w:val="right"/>
              <w:textAlignment w:val="baseline"/>
              <w:rPr>
                <w:sz w:val="22"/>
                <w:szCs w:val="22"/>
              </w:rPr>
            </w:pPr>
            <w:r>
              <w:rPr>
                <w:spacing w:val="-23"/>
                <w:sz w:val="22"/>
                <w:szCs w:val="22"/>
              </w:rPr>
              <w:t>《出租汽车经营服务管理规定》</w:t>
            </w:r>
          </w:p>
          <w:p>
            <w:pPr>
              <w:pStyle w:val="7"/>
              <w:keepNext w:val="0"/>
              <w:keepLines w:val="0"/>
              <w:pageBreakBefore w:val="0"/>
              <w:widowControl/>
              <w:kinsoku w:val="0"/>
              <w:wordWrap/>
              <w:overflowPunct w:val="0"/>
              <w:topLinePunct/>
              <w:autoSpaceDE w:val="0"/>
              <w:autoSpaceDN w:val="0"/>
              <w:bidi w:val="0"/>
              <w:adjustRightInd w:val="0"/>
              <w:snapToGrid w:val="0"/>
              <w:spacing w:before="9" w:line="219" w:lineRule="auto"/>
              <w:ind w:left="57"/>
              <w:textAlignment w:val="baseline"/>
              <w:rPr>
                <w:sz w:val="22"/>
                <w:szCs w:val="22"/>
              </w:rPr>
            </w:pPr>
            <w:r>
              <w:rPr>
                <w:spacing w:val="-2"/>
                <w:sz w:val="22"/>
                <w:szCs w:val="22"/>
              </w:rPr>
              <w:t>《网络预约出租汽车经营服</w:t>
            </w:r>
          </w:p>
          <w:p>
            <w:pPr>
              <w:pStyle w:val="7"/>
              <w:keepNext w:val="0"/>
              <w:keepLines w:val="0"/>
              <w:pageBreakBefore w:val="0"/>
              <w:widowControl/>
              <w:kinsoku w:val="0"/>
              <w:wordWrap/>
              <w:overflowPunct w:val="0"/>
              <w:topLinePunct/>
              <w:autoSpaceDE w:val="0"/>
              <w:autoSpaceDN w:val="0"/>
              <w:bidi w:val="0"/>
              <w:adjustRightInd w:val="0"/>
              <w:snapToGrid w:val="0"/>
              <w:spacing w:before="59" w:line="219" w:lineRule="auto"/>
              <w:ind w:left="608"/>
              <w:textAlignment w:val="baseline"/>
              <w:rPr>
                <w:sz w:val="22"/>
                <w:szCs w:val="22"/>
              </w:rPr>
            </w:pPr>
            <w:r>
              <w:rPr>
                <w:spacing w:val="-3"/>
                <w:sz w:val="22"/>
                <w:szCs w:val="22"/>
              </w:rPr>
              <w:t>务管理暂行办法》</w:t>
            </w:r>
          </w:p>
          <w:p>
            <w:pPr>
              <w:pStyle w:val="7"/>
              <w:keepNext w:val="0"/>
              <w:keepLines w:val="0"/>
              <w:pageBreakBefore w:val="0"/>
              <w:widowControl/>
              <w:kinsoku w:val="0"/>
              <w:wordWrap/>
              <w:overflowPunct w:val="0"/>
              <w:topLinePunct/>
              <w:autoSpaceDE w:val="0"/>
              <w:autoSpaceDN w:val="0"/>
              <w:bidi w:val="0"/>
              <w:adjustRightInd w:val="0"/>
              <w:snapToGrid w:val="0"/>
              <w:spacing w:before="29" w:line="219" w:lineRule="auto"/>
              <w:textAlignment w:val="baseline"/>
              <w:rPr>
                <w:sz w:val="22"/>
                <w:szCs w:val="22"/>
              </w:rPr>
            </w:pPr>
            <w:r>
              <w:rPr>
                <w:spacing w:val="-2"/>
                <w:sz w:val="22"/>
                <w:szCs w:val="22"/>
              </w:rPr>
              <w:t>《山西省城市公共客运条例》</w:t>
            </w:r>
          </w:p>
          <w:p>
            <w:pPr>
              <w:pStyle w:val="7"/>
              <w:keepNext w:val="0"/>
              <w:keepLines w:val="0"/>
              <w:pageBreakBefore w:val="0"/>
              <w:widowControl/>
              <w:kinsoku w:val="0"/>
              <w:wordWrap/>
              <w:overflowPunct w:val="0"/>
              <w:topLinePunct/>
              <w:autoSpaceDE w:val="0"/>
              <w:autoSpaceDN w:val="0"/>
              <w:bidi w:val="0"/>
              <w:adjustRightInd w:val="0"/>
              <w:snapToGrid w:val="0"/>
              <w:spacing w:before="27" w:line="219" w:lineRule="auto"/>
              <w:ind w:left="57"/>
              <w:textAlignment w:val="baseline"/>
              <w:rPr>
                <w:sz w:val="22"/>
                <w:szCs w:val="22"/>
              </w:rPr>
            </w:pPr>
            <w:r>
              <w:rPr>
                <w:sz w:val="22"/>
                <w:szCs w:val="22"/>
              </w:rPr>
              <w:t>《山西省人民政府关于向乡</w:t>
            </w:r>
            <w:r>
              <w:rPr>
                <w:spacing w:val="1"/>
                <w:sz w:val="22"/>
                <w:szCs w:val="22"/>
              </w:rPr>
              <w:t>镇人民政府和办事处下</w:t>
            </w:r>
            <w:r>
              <w:rPr>
                <w:spacing w:val="-5"/>
                <w:sz w:val="22"/>
                <w:szCs w:val="22"/>
              </w:rPr>
              <w:t>放部分行政执法职权的决定》</w:t>
            </w:r>
          </w:p>
          <w:p>
            <w:pPr>
              <w:pStyle w:val="7"/>
              <w:keepNext w:val="0"/>
              <w:keepLines w:val="0"/>
              <w:pageBreakBefore w:val="0"/>
              <w:widowControl/>
              <w:kinsoku w:val="0"/>
              <w:wordWrap/>
              <w:overflowPunct w:val="0"/>
              <w:topLinePunct/>
              <w:autoSpaceDE w:val="0"/>
              <w:autoSpaceDN w:val="0"/>
              <w:bidi w:val="0"/>
              <w:adjustRightInd w:val="0"/>
              <w:snapToGrid w:val="0"/>
              <w:spacing w:before="38" w:line="182" w:lineRule="auto"/>
              <w:ind w:left="327"/>
              <w:textAlignment w:val="baseline"/>
              <w:rPr>
                <w:sz w:val="22"/>
                <w:szCs w:val="22"/>
              </w:rPr>
            </w:pPr>
            <w:r>
              <w:rPr>
                <w:spacing w:val="3"/>
                <w:sz w:val="22"/>
                <w:szCs w:val="22"/>
              </w:rPr>
              <w:t>(晋政发〔2022〕22号)</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sz w:val="22"/>
                <w:szCs w:val="22"/>
                <w:lang w:val="en-US"/>
              </w:rPr>
            </w:pPr>
            <w:r>
              <w:rPr>
                <w:rFonts w:hint="eastAsia" w:eastAsia="宋体"/>
                <w:sz w:val="22"/>
                <w:szCs w:val="22"/>
                <w:lang w:val="en-US" w:eastAsia="zh-CN"/>
              </w:rPr>
              <w:t>县交通运输局等</w:t>
            </w:r>
            <w:r>
              <w:rPr>
                <w:rFonts w:hint="eastAsia" w:eastAsia="宋体"/>
                <w:color w:val="auto"/>
                <w:sz w:val="21"/>
                <w:lang w:val="en-US" w:eastAsia="zh-CN"/>
              </w:rPr>
              <w:t>相关部门</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eastAsia" w:eastAsia="宋体"/>
                <w:sz w:val="22"/>
                <w:szCs w:val="22"/>
                <w:lang w:val="en-US" w:eastAsia="zh-CN"/>
              </w:rPr>
            </w:pPr>
            <w:r>
              <w:rPr>
                <w:spacing w:val="-4"/>
                <w:sz w:val="22"/>
                <w:szCs w:val="22"/>
              </w:rPr>
              <w:t>7</w:t>
            </w:r>
            <w:r>
              <w:rPr>
                <w:rFonts w:hint="eastAsia"/>
                <w:spacing w:val="-4"/>
                <w:sz w:val="22"/>
                <w:szCs w:val="22"/>
                <w:lang w:val="en-US" w:eastAsia="zh-CN"/>
              </w:rPr>
              <w:t>7</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4"/>
                <w:sz w:val="22"/>
                <w:szCs w:val="22"/>
              </w:rPr>
              <w:t>工业信息</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民用爆炸物品生产、销售企业安全检查</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行业主管部门按职责分工负责制定年度监督检查计划，进行监督检查，与应急管理、市场监督、公安、交通运输等相关主管部门开展联合检查</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统筹</w:t>
            </w:r>
            <w:r>
              <w:rPr>
                <w:rFonts w:hint="eastAsia" w:eastAsia="宋体"/>
                <w:sz w:val="21"/>
                <w:lang w:eastAsia="zh-CN"/>
              </w:rPr>
              <w:t>乡镇（街道）</w:t>
            </w:r>
            <w:r>
              <w:rPr>
                <w:rFonts w:ascii="Arial"/>
                <w:sz w:val="21"/>
              </w:rPr>
              <w:t>、村(社区)网格监管力量，日常巡查发现问题及时上报有关部门，配合做好相关工作，</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01" w:line="218" w:lineRule="auto"/>
              <w:ind w:left="167"/>
              <w:jc w:val="center"/>
              <w:textAlignment w:val="baseline"/>
              <w:rPr>
                <w:sz w:val="20"/>
                <w:szCs w:val="20"/>
              </w:rPr>
            </w:pPr>
            <w:r>
              <w:rPr>
                <w:spacing w:val="-2"/>
                <w:sz w:val="20"/>
                <w:szCs w:val="20"/>
              </w:rPr>
              <w:t>《民用爆炸物品安全管理</w:t>
            </w:r>
            <w:r>
              <w:rPr>
                <w:spacing w:val="-5"/>
                <w:sz w:val="20"/>
                <w:szCs w:val="20"/>
              </w:rPr>
              <w:t>条例》</w:t>
            </w:r>
          </w:p>
          <w:p>
            <w:pPr>
              <w:pStyle w:val="7"/>
              <w:keepNext w:val="0"/>
              <w:keepLines w:val="0"/>
              <w:pageBreakBefore w:val="0"/>
              <w:widowControl/>
              <w:kinsoku w:val="0"/>
              <w:wordWrap/>
              <w:overflowPunct w:val="0"/>
              <w:topLinePunct/>
              <w:autoSpaceDE w:val="0"/>
              <w:autoSpaceDN w:val="0"/>
              <w:bidi w:val="0"/>
              <w:adjustRightInd w:val="0"/>
              <w:snapToGrid w:val="0"/>
              <w:spacing w:before="56" w:line="218" w:lineRule="auto"/>
              <w:jc w:val="center"/>
              <w:textAlignment w:val="baseline"/>
              <w:rPr>
                <w:sz w:val="22"/>
                <w:szCs w:val="22"/>
              </w:rPr>
            </w:pPr>
            <w:r>
              <w:rPr>
                <w:sz w:val="22"/>
                <w:szCs w:val="22"/>
              </w:rPr>
              <w:t>《民用爆炸物品安全生产</w:t>
            </w:r>
            <w:r>
              <w:rPr>
                <w:spacing w:val="-3"/>
                <w:sz w:val="22"/>
                <w:szCs w:val="22"/>
              </w:rPr>
              <w:t>许可实施办法》</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县工信和科技局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183" w:lineRule="auto"/>
              <w:jc w:val="center"/>
              <w:textAlignment w:val="baseline"/>
              <w:rPr>
                <w:rFonts w:hint="default" w:eastAsia="宋体"/>
                <w:sz w:val="22"/>
                <w:szCs w:val="22"/>
                <w:lang w:val="en-US" w:eastAsia="zh-CN"/>
              </w:rPr>
            </w:pPr>
            <w:r>
              <w:rPr>
                <w:rFonts w:hint="eastAsia"/>
                <w:sz w:val="22"/>
                <w:szCs w:val="22"/>
                <w:lang w:val="en-US" w:eastAsia="zh-CN"/>
              </w:rPr>
              <w:t>78</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jc w:val="center"/>
              <w:textAlignment w:val="baseline"/>
              <w:rPr>
                <w:sz w:val="22"/>
                <w:szCs w:val="22"/>
              </w:rPr>
            </w:pPr>
            <w:r>
              <w:rPr>
                <w:spacing w:val="8"/>
                <w:sz w:val="22"/>
                <w:szCs w:val="22"/>
              </w:rPr>
              <w:t>水利</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rFonts w:hint="eastAsia"/>
                <w:sz w:val="22"/>
                <w:szCs w:val="22"/>
              </w:rPr>
              <w:t>水利工程规划、建设、工程管理</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水利部门统筹编制各类水利工程规划；组织本级工程建设与行业管理，配合做好县级及以上水利工程建设；指导各类地方水利工程设施管理。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配合做好县级以上水利工程建设；按管理权属，分级管理各类水利工程设施。</w:t>
            </w:r>
          </w:p>
        </w:tc>
        <w:tc>
          <w:tcPr>
            <w:tcW w:w="286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25" w:line="219" w:lineRule="auto"/>
              <w:jc w:val="center"/>
              <w:textAlignment w:val="baseline"/>
              <w:rPr>
                <w:sz w:val="22"/>
                <w:szCs w:val="22"/>
              </w:rPr>
            </w:pPr>
            <w:r>
              <w:rPr>
                <w:spacing w:val="-2"/>
                <w:sz w:val="22"/>
                <w:szCs w:val="22"/>
              </w:rPr>
              <w:t>《水利工程建设项目管理</w:t>
            </w:r>
            <w:r>
              <w:rPr>
                <w:spacing w:val="35"/>
                <w:sz w:val="22"/>
                <w:szCs w:val="22"/>
              </w:rPr>
              <w:t>规定(试行)》</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pacing w:val="-2"/>
                <w:sz w:val="22"/>
                <w:szCs w:val="22"/>
              </w:rPr>
              <w:t>《水利工程建设程序管理</w:t>
            </w:r>
            <w:r>
              <w:rPr>
                <w:sz w:val="22"/>
                <w:szCs w:val="22"/>
              </w:rPr>
              <w:t>暂行规定》</w:t>
            </w:r>
          </w:p>
          <w:p>
            <w:pPr>
              <w:pStyle w:val="7"/>
              <w:keepNext w:val="0"/>
              <w:keepLines w:val="0"/>
              <w:pageBreakBefore w:val="0"/>
              <w:widowControl/>
              <w:kinsoku w:val="0"/>
              <w:wordWrap/>
              <w:overflowPunct w:val="0"/>
              <w:topLinePunct/>
              <w:autoSpaceDE w:val="0"/>
              <w:autoSpaceDN w:val="0"/>
              <w:bidi w:val="0"/>
              <w:adjustRightInd w:val="0"/>
              <w:snapToGrid w:val="0"/>
              <w:spacing w:before="37" w:line="219" w:lineRule="auto"/>
              <w:jc w:val="center"/>
              <w:textAlignment w:val="baseline"/>
              <w:rPr>
                <w:sz w:val="22"/>
                <w:szCs w:val="22"/>
              </w:rPr>
            </w:pPr>
            <w:r>
              <w:rPr>
                <w:sz w:val="22"/>
                <w:szCs w:val="22"/>
              </w:rPr>
              <w:t>(2019年第四次</w:t>
            </w:r>
            <w:r>
              <w:rPr>
                <w:spacing w:val="16"/>
                <w:sz w:val="22"/>
                <w:szCs w:val="22"/>
              </w:rPr>
              <w:t>修正)</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22"/>
                <w:szCs w:val="22"/>
                <w:lang w:val="en-US" w:eastAsia="zh-CN"/>
              </w:rPr>
              <w:t>县水利局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3" w:hRule="atLeast"/>
        </w:trPr>
        <w:tc>
          <w:tcPr>
            <w:tcW w:w="4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1" w:line="184" w:lineRule="auto"/>
              <w:jc w:val="center"/>
              <w:textAlignment w:val="baseline"/>
              <w:rPr>
                <w:rFonts w:hint="default" w:eastAsia="宋体"/>
                <w:sz w:val="22"/>
                <w:szCs w:val="22"/>
                <w:lang w:val="en-US" w:eastAsia="zh-CN"/>
              </w:rPr>
            </w:pPr>
            <w:r>
              <w:rPr>
                <w:rFonts w:hint="eastAsia"/>
                <w:sz w:val="22"/>
                <w:szCs w:val="22"/>
                <w:lang w:val="en-US" w:eastAsia="zh-CN"/>
              </w:rPr>
              <w:t>79</w:t>
            </w:r>
          </w:p>
        </w:tc>
        <w:tc>
          <w:tcPr>
            <w:tcW w:w="10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19" w:lineRule="auto"/>
              <w:jc w:val="center"/>
              <w:textAlignment w:val="baseline"/>
              <w:rPr>
                <w:sz w:val="22"/>
                <w:szCs w:val="22"/>
              </w:rPr>
            </w:pPr>
            <w:r>
              <w:rPr>
                <w:spacing w:val="-2"/>
                <w:sz w:val="22"/>
                <w:szCs w:val="22"/>
              </w:rPr>
              <w:t>社会治理</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7" w:lineRule="auto"/>
              <w:ind w:right="108"/>
              <w:jc w:val="center"/>
              <w:textAlignment w:val="baseline"/>
              <w:rPr>
                <w:sz w:val="22"/>
                <w:szCs w:val="22"/>
              </w:rPr>
            </w:pPr>
            <w:r>
              <w:rPr>
                <w:rFonts w:hint="eastAsia"/>
                <w:sz w:val="22"/>
                <w:szCs w:val="22"/>
              </w:rPr>
              <w:t>矛盾纠纷排查化解</w:t>
            </w:r>
          </w:p>
        </w:tc>
        <w:tc>
          <w:tcPr>
            <w:tcW w:w="341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信访部门加强矛盾纠纷排查工作，对收到的信访事项及时转办交办，并督促按时办理。</w:t>
            </w:r>
          </w:p>
        </w:tc>
        <w:tc>
          <w:tcPr>
            <w:tcW w:w="325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坚持和发展新时代“枫桥经验”积极协调处理化解发生在当地的信访事项和矛盾纠纷，努力做到小事不出村、大事不出镇、矛盾不上交。</w:t>
            </w:r>
          </w:p>
        </w:tc>
        <w:tc>
          <w:tcPr>
            <w:tcW w:w="2868" w:type="dxa"/>
            <w:vAlign w:val="top"/>
          </w:tcPr>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keepNext w:val="0"/>
              <w:keepLines w:val="0"/>
              <w:pageBreakBefore w:val="0"/>
              <w:widowControl/>
              <w:kinsoku w:val="0"/>
              <w:wordWrap/>
              <w:overflowPunct w:val="0"/>
              <w:topLinePunct/>
              <w:autoSpaceDE w:val="0"/>
              <w:autoSpaceDN w:val="0"/>
              <w:bidi w:val="0"/>
              <w:adjustRightInd w:val="0"/>
              <w:snapToGrid w:val="0"/>
              <w:spacing w:line="281" w:lineRule="auto"/>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71" w:line="219" w:lineRule="auto"/>
              <w:ind w:left="547" w:firstLine="216" w:firstLineChars="100"/>
              <w:textAlignment w:val="baseline"/>
              <w:rPr>
                <w:sz w:val="22"/>
                <w:szCs w:val="22"/>
              </w:rPr>
            </w:pPr>
            <w:r>
              <w:rPr>
                <w:spacing w:val="-2"/>
                <w:sz w:val="22"/>
                <w:szCs w:val="22"/>
              </w:rPr>
              <w:t>《信访工作条例》</w:t>
            </w:r>
          </w:p>
        </w:tc>
        <w:tc>
          <w:tcPr>
            <w:tcW w:w="6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县信访局</w:t>
            </w:r>
          </w:p>
        </w:tc>
        <w:tc>
          <w:tcPr>
            <w:tcW w:w="86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r>
              <w:rPr>
                <w:rFonts w:hint="eastAsia" w:eastAsia="宋体"/>
                <w:sz w:val="18"/>
                <w:szCs w:val="18"/>
                <w:lang w:eastAsia="zh-CN"/>
              </w:rPr>
              <w:t>聂营镇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val="en-US" w:eastAsia="zh-CN"/>
              </w:rPr>
            </w:pP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pPr w:leftFromText="180" w:rightFromText="180" w:vertAnchor="text" w:horzAnchor="page" w:tblpX="1861" w:tblpY="224"/>
        <w:tblOverlap w:val="never"/>
        <w:tblW w:w="13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
        <w:gridCol w:w="1000"/>
        <w:gridCol w:w="1306"/>
        <w:gridCol w:w="3424"/>
        <w:gridCol w:w="3247"/>
        <w:gridCol w:w="2588"/>
        <w:gridCol w:w="725"/>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4" w:lineRule="auto"/>
              <w:jc w:val="center"/>
              <w:textAlignment w:val="baseline"/>
              <w:rPr>
                <w:rFonts w:hint="default" w:eastAsia="宋体"/>
                <w:lang w:val="en-US" w:eastAsia="zh-CN"/>
              </w:rPr>
            </w:pPr>
            <w:r>
              <w:rPr>
                <w:rFonts w:hint="eastAsia"/>
                <w:lang w:val="en-US" w:eastAsia="zh-CN"/>
              </w:rPr>
              <w:t>80</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1"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338" w:lineRule="auto"/>
              <w:ind w:right="126"/>
              <w:jc w:val="center"/>
              <w:textAlignment w:val="baseline"/>
            </w:pPr>
            <w:r>
              <w:rPr>
                <w:rFonts w:hint="eastAsia"/>
              </w:rPr>
              <w:t>滹沱河流域生态修复与保护</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县(市、区)人民政府及其有关部门按照各自职责做好流域生态修复与保护工作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乡(镇)人民政府按照职责做好流域生态修复与保护工作。流域村(居)民委员会协助乡(镇)人民政府做好流域生态修复与保护工作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18"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9" w:line="365" w:lineRule="auto"/>
              <w:ind w:left="147" w:right="159" w:hanging="55"/>
              <w:jc w:val="center"/>
              <w:textAlignment w:val="baseline"/>
              <w:rPr>
                <w:rFonts w:hint="eastAsia" w:eastAsia="宋体"/>
                <w:lang w:val="en-US" w:eastAsia="zh-CN"/>
              </w:rPr>
            </w:pPr>
            <w:r>
              <w:t>《忻州市滹沱</w:t>
            </w:r>
            <w:r>
              <w:rPr>
                <w:spacing w:val="-2"/>
              </w:rPr>
              <w:t>河流域生态修</w:t>
            </w:r>
            <w:r>
              <w:rPr>
                <w:spacing w:val="2"/>
              </w:rPr>
              <w:t>复与保护条例</w:t>
            </w:r>
            <w:r>
              <w:t>》</w:t>
            </w:r>
          </w:p>
        </w:tc>
        <w:tc>
          <w:tcPr>
            <w:tcW w:w="72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ascii="Arial"/>
                <w:color w:val="auto"/>
                <w:sz w:val="21"/>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Arial" w:eastAsia="宋体"/>
                <w:sz w:val="18"/>
                <w:szCs w:val="18"/>
                <w:lang w:eastAsia="zh-CN"/>
              </w:rPr>
            </w:pPr>
            <w:r>
              <w:rPr>
                <w:rFonts w:hint="eastAsia" w:eastAsia="宋体"/>
                <w:sz w:val="18"/>
                <w:szCs w:val="18"/>
                <w:lang w:eastAsia="zh-CN"/>
              </w:rPr>
              <w:t>聂营镇</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183" w:lineRule="auto"/>
              <w:jc w:val="center"/>
              <w:textAlignment w:val="baseline"/>
              <w:rPr>
                <w:rFonts w:hint="default" w:eastAsia="宋体"/>
                <w:lang w:val="en-US" w:eastAsia="zh-CN"/>
              </w:rPr>
            </w:pPr>
            <w:r>
              <w:rPr>
                <w:rFonts w:hint="eastAsia"/>
                <w:lang w:val="en-US" w:eastAsia="zh-CN"/>
              </w:rPr>
              <w:t>81</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rPr>
                <w:rFonts w:hint="eastAsia"/>
              </w:rPr>
            </w:pPr>
            <w:r>
              <w:rPr>
                <w:rFonts w:hint="eastAsia"/>
              </w:rPr>
              <w:t>大气污染</w:t>
            </w:r>
          </w:p>
          <w:p>
            <w:pPr>
              <w:pStyle w:val="7"/>
              <w:keepNext w:val="0"/>
              <w:keepLines w:val="0"/>
              <w:pageBreakBefore w:val="0"/>
              <w:widowControl/>
              <w:kinsoku w:val="0"/>
              <w:wordWrap/>
              <w:overflowPunct w:val="0"/>
              <w:topLinePunct/>
              <w:autoSpaceDE w:val="0"/>
              <w:autoSpaceDN w:val="0"/>
              <w:bidi w:val="0"/>
              <w:adjustRightInd w:val="0"/>
              <w:snapToGrid w:val="0"/>
              <w:spacing w:before="68" w:line="400" w:lineRule="exact"/>
              <w:jc w:val="center"/>
              <w:textAlignment w:val="baseline"/>
            </w:pPr>
            <w:r>
              <w:rPr>
                <w:rFonts w:hint="eastAsia"/>
              </w:rPr>
              <w:t>防治</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县(市、区)人民政府其他有关部门在各自职责范围内对有关行业、领域的大气污染防治实施监督管理</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乡(镇)人民政府，办事处应当按照市、县(市、区)人民政府及有关部门的安排，做好大气污染防治工作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90"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53" w:lineRule="auto"/>
              <w:ind w:left="147" w:right="134" w:hanging="55"/>
              <w:jc w:val="center"/>
              <w:textAlignment w:val="baseline"/>
            </w:pPr>
            <w:r>
              <w:t>《忻州市大气</w:t>
            </w:r>
            <w:r>
              <w:rPr>
                <w:spacing w:val="2"/>
              </w:rPr>
              <w:t>污染防治条例</w:t>
            </w:r>
            <w:r>
              <w:t>》</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市生</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态环</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境局</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代县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pPr>
            <w:r>
              <w:rPr>
                <w:rFonts w:hint="eastAsia" w:eastAsia="宋体"/>
                <w:sz w:val="22"/>
                <w:szCs w:val="22"/>
                <w:lang w:val="en-US" w:eastAsia="zh-CN"/>
              </w:rPr>
              <w:t>分局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7" w:hRule="atLeast"/>
        </w:trPr>
        <w:tc>
          <w:tcPr>
            <w:tcW w:w="42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eastAsia="宋体"/>
                <w:lang w:val="en-US" w:eastAsia="zh-CN"/>
              </w:rPr>
            </w:pPr>
            <w:r>
              <w:rPr>
                <w:rFonts w:hint="eastAsia"/>
                <w:lang w:val="en-US" w:eastAsia="zh-CN"/>
              </w:rPr>
              <w:t>82</w:t>
            </w:r>
          </w:p>
        </w:tc>
        <w:tc>
          <w:tcPr>
            <w:tcW w:w="1000"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8" w:line="220" w:lineRule="auto"/>
              <w:jc w:val="center"/>
              <w:textAlignment w:val="baseline"/>
            </w:pPr>
            <w:r>
              <w:rPr>
                <w:spacing w:val="-2"/>
              </w:rPr>
              <w:t>生态环境</w:t>
            </w:r>
          </w:p>
        </w:tc>
        <w:tc>
          <w:tcPr>
            <w:tcW w:w="130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rPr>
            </w:pPr>
            <w:r>
              <w:rPr>
                <w:rFonts w:hint="eastAsia"/>
              </w:rPr>
              <w:t>乡村人居</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pPr>
            <w:r>
              <w:rPr>
                <w:rFonts w:hint="eastAsia"/>
              </w:rPr>
              <w:t>环境治理</w:t>
            </w:r>
          </w:p>
        </w:tc>
        <w:tc>
          <w:tcPr>
            <w:tcW w:w="3424"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县(市、区)人民政府组织实施本行政区域内乡村人居环境治理工作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乡(镇)人民政府、办事处负责辖区内乡村人居环境治理的具体工作</w:t>
            </w:r>
          </w:p>
        </w:tc>
        <w:tc>
          <w:tcPr>
            <w:tcW w:w="2588" w:type="dxa"/>
            <w:vAlign w:val="center"/>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pStyle w:val="7"/>
              <w:keepNext w:val="0"/>
              <w:keepLines w:val="0"/>
              <w:pageBreakBefore w:val="0"/>
              <w:widowControl/>
              <w:kinsoku w:val="0"/>
              <w:wordWrap/>
              <w:overflowPunct w:val="0"/>
              <w:topLinePunct/>
              <w:autoSpaceDE w:val="0"/>
              <w:autoSpaceDN w:val="0"/>
              <w:bidi w:val="0"/>
              <w:adjustRightInd w:val="0"/>
              <w:snapToGrid w:val="0"/>
              <w:spacing w:before="68" w:line="343" w:lineRule="auto"/>
              <w:ind w:left="147" w:right="161" w:hanging="55"/>
              <w:jc w:val="center"/>
              <w:textAlignment w:val="baseline"/>
            </w:pPr>
            <w:r>
              <w:t>《忻州市乡村</w:t>
            </w:r>
            <w:r>
              <w:rPr>
                <w:spacing w:val="-2"/>
              </w:rPr>
              <w:t>人居环境理</w:t>
            </w:r>
            <w:r>
              <w:rPr>
                <w:spacing w:val="-3"/>
              </w:rPr>
              <w:t>促进条例》</w:t>
            </w:r>
          </w:p>
        </w:tc>
        <w:tc>
          <w:tcPr>
            <w:tcW w:w="725"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农业</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农村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lang w:val="en-US"/>
              </w:rPr>
            </w:pPr>
            <w:r>
              <w:rPr>
                <w:rFonts w:hint="eastAsia" w:eastAsia="宋体"/>
                <w:sz w:val="22"/>
                <w:szCs w:val="22"/>
                <w:lang w:val="en-US" w:eastAsia="zh-CN"/>
              </w:rPr>
              <w:t>局</w:t>
            </w:r>
          </w:p>
        </w:tc>
        <w:tc>
          <w:tcPr>
            <w:tcW w:w="8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18"/>
                <w:szCs w:val="18"/>
                <w:lang w:eastAsia="zh-CN"/>
              </w:rPr>
            </w:pPr>
            <w:r>
              <w:rPr>
                <w:rFonts w:hint="eastAsia" w:eastAsia="宋体"/>
                <w:sz w:val="18"/>
                <w:szCs w:val="18"/>
                <w:lang w:eastAsia="zh-CN"/>
              </w:rPr>
              <w:t>聂营镇</w:t>
            </w:r>
          </w:p>
        </w:tc>
      </w:tr>
    </w:tbl>
    <w:tbl>
      <w:tblPr>
        <w:tblStyle w:val="6"/>
        <w:tblW w:w="13641"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965"/>
        <w:gridCol w:w="1289"/>
        <w:gridCol w:w="3411"/>
        <w:gridCol w:w="3259"/>
        <w:gridCol w:w="2631"/>
        <w:gridCol w:w="688"/>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83</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垃圾治理</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hint="eastAsia" w:ascii="Arial" w:eastAsia="宋体"/>
                <w:sz w:val="21"/>
                <w:lang w:val="en-US" w:eastAsia="zh-CN"/>
              </w:rPr>
            </w:pPr>
            <w:r>
              <w:rPr>
                <w:rFonts w:ascii="Arial"/>
                <w:sz w:val="21"/>
              </w:rPr>
              <w:t>县</w:t>
            </w:r>
            <w:r>
              <w:rPr>
                <w:rFonts w:ascii="Arial"/>
                <w:sz w:val="21"/>
              </w:rPr>
              <mc:AlternateContent>
                <mc:Choice Requires="wps">
                  <w:drawing>
                    <wp:anchor distT="0" distB="0" distL="114300" distR="114300" simplePos="0" relativeHeight="251660288" behindDoc="0" locked="0" layoutInCell="1" allowOverlap="1">
                      <wp:simplePos x="0" y="0"/>
                      <wp:positionH relativeFrom="page">
                        <wp:posOffset>57150</wp:posOffset>
                      </wp:positionH>
                      <wp:positionV relativeFrom="page">
                        <wp:posOffset>1548765</wp:posOffset>
                      </wp:positionV>
                      <wp:extent cx="18288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 cy="152400"/>
                              </a:xfrm>
                              <a:prstGeom prst="rect">
                                <a:avLst/>
                              </a:prstGeom>
                              <a:noFill/>
                              <a:ln>
                                <a:noFill/>
                              </a:ln>
                            </wps:spPr>
                            <wps:txbx>
                              <w:txbxContent>
                                <w:p/>
                              </w:txbxContent>
                            </wps:txbx>
                            <wps:bodyPr vert="eaVert" lIns="0" tIns="0" rIns="0" bIns="0" upright="0"/>
                          </wps:wsp>
                        </a:graphicData>
                      </a:graphic>
                    </wp:anchor>
                  </w:drawing>
                </mc:Choice>
                <mc:Fallback>
                  <w:pict>
                    <v:shape id="_x0000_s1026" o:spid="_x0000_s1026" o:spt="202" type="#_x0000_t202" style="position:absolute;left:0pt;margin-left:4.5pt;margin-top:121.95pt;height:12pt;width:14.4pt;mso-position-horizontal-relative:page;mso-position-vertical-relative:page;z-index:251660288;mso-width-relative:page;mso-height-relative:page;" filled="f" stroked="f" coordsize="21600,21600" o:gfxdata="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yglWtYAAAAIAQAADwAAAAAAAAABACAAAAAiAAAAZHJzL2Rvd25yZXYueG1s&#10;UEsBAhQAFAAAAAgAh07iQDBY5Z/BAQAAfwMAAA4AAAAAAAAAAQAgAAAAJQEAAGRycy9lMm9Eb2Mu&#10;eG1sUEsFBgAAAAAGAAYAWQEAAFgFAAAAAA==&#10;">
                      <v:fill on="f" focussize="0,0"/>
                      <v:stroke on="f"/>
                      <v:imagedata o:title=""/>
                      <o:lock v:ext="edit" aspectratio="f"/>
                      <v:textbox inset="0mm,0mm,0mm,0mm" style="layout-flow:vertical-ideographic;">
                        <w:txbxContent>
                          <w:p/>
                        </w:txbxContent>
                      </v:textbox>
                    </v:shape>
                  </w:pict>
                </mc:Fallback>
              </mc:AlternateContent>
            </w:r>
            <w:r>
              <w:rPr>
                <w:rFonts w:ascii="Arial"/>
                <w:sz w:val="21"/>
              </w:rPr>
              <w:t>(市、区)人民政府应当建立健全适合本地实际的乡村生活垃圾收集、分类、转运、处理机制，推行垃圾分类和资源利用方式、推进垃圾源头减</w:t>
            </w:r>
            <w:r>
              <w:rPr>
                <w:rFonts w:hint="eastAsia" w:eastAsia="宋体"/>
                <w:sz w:val="21"/>
                <w:lang w:val="en-US" w:eastAsia="zh-CN"/>
              </w:rPr>
              <w:t>量</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乡(镇)人民政府、办事处应当设置建筑装修垃圾、有毒有害垃圾集中回收点、实行集中管理和无害化处理。乡(镇)人民政府、办事处应当建立村庄清扫保洁制度，加强村庄环境监督管理</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ascii="Arial"/>
                <w:sz w:val="21"/>
              </w:rPr>
              <w:t>《忻州市乡村人居环境治理</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eastAsia="宋体"/>
                <w:sz w:val="21"/>
                <w:lang w:val="en-US" w:eastAsia="zh-CN"/>
              </w:rPr>
              <w:t>促</w:t>
            </w:r>
            <w:r>
              <w:rPr>
                <w:rFonts w:ascii="Arial"/>
                <w:sz w:val="21"/>
              </w:rPr>
              <w:t>进条例》</w:t>
            </w:r>
          </w:p>
        </w:tc>
        <w:tc>
          <w:tcPr>
            <w:tcW w:w="688"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住房</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和城</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spacing w:val="7"/>
                <w:lang w:val="en-US" w:eastAsia="zh-CN"/>
              </w:rPr>
            </w:pPr>
            <w:r>
              <w:rPr>
                <w:rFonts w:hint="eastAsia"/>
                <w:spacing w:val="7"/>
                <w:lang w:val="en-US" w:eastAsia="zh-CN"/>
              </w:rPr>
              <w:t>乡建</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0"/>
                <w:szCs w:val="20"/>
                <w:lang w:val="en-US" w:eastAsia="zh-CN"/>
              </w:rPr>
            </w:pPr>
            <w:r>
              <w:rPr>
                <w:rFonts w:hint="eastAsia"/>
                <w:spacing w:val="7"/>
                <w:lang w:val="en-US" w:eastAsia="zh-CN"/>
              </w:rPr>
              <w:t>设管理局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0" w:hRule="atLeast"/>
        </w:trPr>
        <w:tc>
          <w:tcPr>
            <w:tcW w:w="464"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84</w:t>
            </w:r>
          </w:p>
        </w:tc>
        <w:tc>
          <w:tcPr>
            <w:tcW w:w="96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生态环境</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节约用水</w:t>
            </w:r>
          </w:p>
        </w:tc>
        <w:tc>
          <w:tcPr>
            <w:tcW w:w="3411"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259"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乡(镇)人民政府、办事处应当</w:t>
            </w:r>
          </w:p>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r>
              <w:rPr>
                <w:rFonts w:ascii="Arial"/>
                <w:sz w:val="21"/>
              </w:rPr>
              <w:t>协助有关部门做好节约用水的相关工作。</w:t>
            </w:r>
          </w:p>
        </w:tc>
        <w:tc>
          <w:tcPr>
            <w:tcW w:w="2631" w:type="dxa"/>
            <w:vAlign w:val="top"/>
          </w:tcPr>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r>
              <w:rPr>
                <w:rFonts w:hint="eastAsia" w:ascii="Arial"/>
                <w:sz w:val="21"/>
              </w:rPr>
              <w:t>《忻州市节约用水条例》</w:t>
            </w:r>
          </w:p>
          <w:p>
            <w:pPr>
              <w:keepNext w:val="0"/>
              <w:keepLines w:val="0"/>
              <w:pageBreakBefore w:val="0"/>
              <w:widowControl/>
              <w:kinsoku w:val="0"/>
              <w:wordWrap/>
              <w:overflowPunct w:val="0"/>
              <w:topLinePunct/>
              <w:autoSpaceDE w:val="0"/>
              <w:autoSpaceDN w:val="0"/>
              <w:bidi w:val="0"/>
              <w:adjustRightInd w:val="0"/>
              <w:snapToGrid w:val="0"/>
              <w:spacing w:line="334" w:lineRule="auto"/>
              <w:jc w:val="center"/>
              <w:textAlignment w:val="baseline"/>
              <w:rPr>
                <w:rFonts w:ascii="Arial"/>
                <w:sz w:val="21"/>
              </w:rPr>
            </w:pPr>
          </w:p>
        </w:tc>
        <w:tc>
          <w:tcPr>
            <w:tcW w:w="68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县</w:t>
            </w:r>
          </w:p>
          <w:p>
            <w:pPr>
              <w:pStyle w:val="7"/>
              <w:keepNext w:val="0"/>
              <w:keepLines w:val="0"/>
              <w:pageBreakBefore w:val="0"/>
              <w:widowControl/>
              <w:kinsoku w:val="0"/>
              <w:wordWrap/>
              <w:overflowPunct w:val="0"/>
              <w:topLinePunct/>
              <w:autoSpaceDE w:val="0"/>
              <w:autoSpaceDN w:val="0"/>
              <w:bidi w:val="0"/>
              <w:adjustRightInd w:val="0"/>
              <w:snapToGrid w:val="0"/>
              <w:spacing w:before="72" w:line="230" w:lineRule="auto"/>
              <w:ind w:right="76"/>
              <w:jc w:val="center"/>
              <w:textAlignment w:val="baseline"/>
              <w:rPr>
                <w:rFonts w:hint="eastAsia" w:ascii="Arial"/>
                <w:color w:val="auto"/>
                <w:sz w:val="21"/>
                <w:lang w:val="en-US" w:eastAsia="zh-CN"/>
              </w:rPr>
            </w:pPr>
            <w:r>
              <w:rPr>
                <w:rFonts w:hint="eastAsia" w:ascii="Arial"/>
                <w:color w:val="auto"/>
                <w:sz w:val="21"/>
                <w:lang w:val="en-US" w:eastAsia="zh-CN"/>
              </w:rPr>
              <w:t>水利</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局</w:t>
            </w:r>
          </w:p>
        </w:tc>
        <w:tc>
          <w:tcPr>
            <w:tcW w:w="93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r>
        <w:rPr>
          <w:rFonts w:hint="eastAsia" w:ascii="Arial" w:eastAsia="宋体"/>
          <w:sz w:val="22"/>
          <w:szCs w:val="22"/>
          <w:lang w:eastAsia="zh-CN"/>
        </w:rPr>
        <w:br w:type="page"/>
      </w:r>
    </w:p>
    <w:tbl>
      <w:tblPr>
        <w:tblStyle w:val="6"/>
        <w:tblW w:w="13676" w:type="dxa"/>
        <w:tblInd w:w="8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
        <w:gridCol w:w="953"/>
        <w:gridCol w:w="1289"/>
        <w:gridCol w:w="3423"/>
        <w:gridCol w:w="3247"/>
        <w:gridCol w:w="2681"/>
        <w:gridCol w:w="663"/>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85</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户外广告设施和招牌设置</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乡(镇)人民政府、办事处协助城市管理主管部门和其他有关部门对本辖区的户外广告设施和招牌设置进行日常监督管理</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4"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45"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before="68" w:line="344" w:lineRule="auto"/>
              <w:ind w:left="146" w:right="124" w:hanging="55"/>
              <w:jc w:val="center"/>
              <w:textAlignment w:val="baseline"/>
              <w:rPr>
                <w:rFonts w:ascii="宋体" w:hAnsi="宋体" w:eastAsia="宋体" w:cs="宋体"/>
                <w:sz w:val="21"/>
                <w:szCs w:val="21"/>
              </w:rPr>
            </w:pPr>
            <w:r>
              <w:rPr>
                <w:rFonts w:ascii="宋体" w:hAnsi="宋体" w:eastAsia="宋体" w:cs="宋体"/>
                <w:spacing w:val="-4"/>
                <w:sz w:val="21"/>
                <w:szCs w:val="21"/>
              </w:rPr>
              <w:t>《忻州市户外</w:t>
            </w:r>
            <w:r>
              <w:rPr>
                <w:rFonts w:ascii="宋体" w:hAnsi="宋体" w:eastAsia="宋体" w:cs="宋体"/>
                <w:spacing w:val="2"/>
                <w:sz w:val="21"/>
                <w:szCs w:val="21"/>
              </w:rPr>
              <w:t>广告没施和招</w:t>
            </w:r>
            <w:r>
              <w:rPr>
                <w:rFonts w:ascii="宋体" w:hAnsi="宋体" w:eastAsia="宋体" w:cs="宋体"/>
                <w:spacing w:val="-2"/>
                <w:sz w:val="21"/>
                <w:szCs w:val="21"/>
              </w:rPr>
              <w:t>牌设置管理条</w:t>
            </w:r>
            <w:r>
              <w:rPr>
                <w:rFonts w:ascii="宋体" w:hAnsi="宋体" w:eastAsia="宋体" w:cs="宋体"/>
                <w:spacing w:val="-5"/>
                <w:sz w:val="21"/>
                <w:szCs w:val="21"/>
              </w:rPr>
              <w:t>例》</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ascii="宋体" w:hAnsi="宋体" w:eastAsia="宋体" w:cs="宋体"/>
                <w:sz w:val="21"/>
                <w:szCs w:val="21"/>
                <w:lang w:val="en-US" w:eastAsia="zh-CN"/>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1" w:hRule="atLeast"/>
        </w:trPr>
        <w:tc>
          <w:tcPr>
            <w:tcW w:w="4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default"/>
                <w:lang w:val="en-US" w:eastAsia="zh-CN"/>
              </w:rPr>
            </w:pPr>
            <w:r>
              <w:rPr>
                <w:rFonts w:hint="eastAsia"/>
                <w:lang w:val="en-US" w:eastAsia="zh-CN"/>
              </w:rPr>
              <w:t>86</w:t>
            </w:r>
          </w:p>
        </w:tc>
        <w:tc>
          <w:tcPr>
            <w:tcW w:w="953"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市场监管</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电梯安全</w:t>
            </w:r>
          </w:p>
          <w:p>
            <w:pPr>
              <w:pStyle w:val="7"/>
              <w:keepNext w:val="0"/>
              <w:keepLines w:val="0"/>
              <w:pageBreakBefore w:val="0"/>
              <w:widowControl/>
              <w:kinsoku w:val="0"/>
              <w:wordWrap/>
              <w:overflowPunct w:val="0"/>
              <w:topLinePunct/>
              <w:autoSpaceDE w:val="0"/>
              <w:autoSpaceDN w:val="0"/>
              <w:bidi w:val="0"/>
              <w:adjustRightInd w:val="0"/>
              <w:snapToGrid w:val="0"/>
              <w:spacing w:before="69" w:line="183" w:lineRule="auto"/>
              <w:jc w:val="center"/>
              <w:textAlignment w:val="baseline"/>
              <w:rPr>
                <w:rFonts w:hint="eastAsia"/>
                <w:lang w:val="en-US" w:eastAsia="zh-CN"/>
              </w:rPr>
            </w:pPr>
            <w:r>
              <w:rPr>
                <w:rFonts w:hint="eastAsia"/>
                <w:lang w:val="en-US" w:eastAsia="zh-CN"/>
              </w:rPr>
              <w:t>管理</w:t>
            </w:r>
          </w:p>
        </w:tc>
        <w:tc>
          <w:tcPr>
            <w:tcW w:w="3423"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县(市、区)人民政府应当加强对本行政区域电梯安全工作的领导，依法履行电梯安全监督管理职责.协调解决电梯安全监督管理中的重大问题，建立健全电梯事故应急救援体系。县(市、区)人民政府有关部门应当按照各自职责，做好电梯安全监督管理相关工作</w:t>
            </w:r>
          </w:p>
        </w:tc>
        <w:tc>
          <w:tcPr>
            <w:tcW w:w="3247" w:type="dxa"/>
            <w:vAlign w:val="center"/>
          </w:tcPr>
          <w:p>
            <w:pPr>
              <w:keepNext w:val="0"/>
              <w:keepLines w:val="0"/>
              <w:pageBreakBefore w:val="0"/>
              <w:widowControl/>
              <w:kinsoku/>
              <w:wordWrap/>
              <w:overflowPunct w:val="0"/>
              <w:topLinePunct w:val="0"/>
              <w:autoSpaceDE w:val="0"/>
              <w:autoSpaceDN w:val="0"/>
              <w:bidi w:val="0"/>
              <w:adjustRightInd w:val="0"/>
              <w:snapToGrid w:val="0"/>
              <w:spacing w:line="296" w:lineRule="auto"/>
              <w:ind w:right="0"/>
              <w:jc w:val="both"/>
              <w:textAlignment w:val="baseline"/>
              <w:rPr>
                <w:rFonts w:ascii="Arial"/>
                <w:sz w:val="21"/>
              </w:rPr>
            </w:pPr>
          </w:p>
          <w:p>
            <w:pPr>
              <w:keepNext w:val="0"/>
              <w:keepLines w:val="0"/>
              <w:pageBreakBefore w:val="0"/>
              <w:widowControl/>
              <w:kinsoku/>
              <w:wordWrap/>
              <w:overflowPunct w:val="0"/>
              <w:topLinePunct w:val="0"/>
              <w:autoSpaceDE w:val="0"/>
              <w:autoSpaceDN w:val="0"/>
              <w:bidi w:val="0"/>
              <w:adjustRightInd w:val="0"/>
              <w:snapToGrid w:val="0"/>
              <w:spacing w:line="296" w:lineRule="auto"/>
              <w:ind w:right="0" w:firstLine="420" w:firstLineChars="200"/>
              <w:jc w:val="both"/>
              <w:textAlignment w:val="baseline"/>
              <w:rPr>
                <w:rFonts w:ascii="Arial"/>
                <w:sz w:val="21"/>
              </w:rPr>
            </w:pPr>
            <w:r>
              <w:rPr>
                <w:rFonts w:ascii="Arial"/>
                <w:sz w:val="21"/>
              </w:rPr>
              <w:t>乡(镇)人民政府、办事处应当协助特种设备安全监督管理部门，做好电梯安全监督管理工作</w:t>
            </w:r>
          </w:p>
        </w:tc>
        <w:tc>
          <w:tcPr>
            <w:tcW w:w="2681" w:type="dxa"/>
            <w:vAlign w:val="top"/>
          </w:tcPr>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7" w:lineRule="auto"/>
              <w:jc w:val="center"/>
              <w:textAlignment w:val="baseline"/>
            </w:pPr>
          </w:p>
          <w:p>
            <w:pPr>
              <w:pStyle w:val="7"/>
              <w:keepNext w:val="0"/>
              <w:keepLines w:val="0"/>
              <w:pageBreakBefore w:val="0"/>
              <w:widowControl/>
              <w:kinsoku w:val="0"/>
              <w:wordWrap/>
              <w:overflowPunct w:val="0"/>
              <w:topLinePunct/>
              <w:autoSpaceDE w:val="0"/>
              <w:autoSpaceDN w:val="0"/>
              <w:bidi w:val="0"/>
              <w:adjustRightInd w:val="0"/>
              <w:snapToGrid w:val="0"/>
              <w:spacing w:line="298" w:lineRule="auto"/>
              <w:jc w:val="center"/>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1" w:lineRule="auto"/>
              <w:ind w:left="0" w:right="0" w:firstLine="0"/>
              <w:jc w:val="center"/>
              <w:textAlignment w:val="baseline"/>
              <w:rPr>
                <w:rFonts w:ascii="宋体" w:hAnsi="宋体" w:eastAsia="宋体" w:cs="宋体"/>
                <w:sz w:val="21"/>
                <w:szCs w:val="21"/>
              </w:rPr>
            </w:pPr>
            <w:r>
              <w:rPr>
                <w:rFonts w:ascii="宋体" w:hAnsi="宋体" w:eastAsia="宋体" w:cs="宋体"/>
                <w:spacing w:val="-4"/>
                <w:w w:val="90"/>
                <w:sz w:val="22"/>
                <w:szCs w:val="22"/>
              </w:rPr>
              <w:t>《忻州市电</w:t>
            </w:r>
            <w:r>
              <w:rPr>
                <w:rFonts w:hint="eastAsia" w:ascii="宋体" w:hAnsi="宋体" w:eastAsia="宋体" w:cs="宋体"/>
                <w:spacing w:val="-4"/>
                <w:w w:val="90"/>
                <w:sz w:val="22"/>
                <w:szCs w:val="22"/>
                <w:lang w:val="en-US" w:eastAsia="zh-CN"/>
              </w:rPr>
              <w:t>梯</w:t>
            </w:r>
            <w:bookmarkStart w:id="0" w:name="_GoBack"/>
            <w:bookmarkEnd w:id="0"/>
            <w:r>
              <w:rPr>
                <w:rFonts w:ascii="宋体" w:hAnsi="宋体" w:eastAsia="宋体" w:cs="宋体"/>
                <w:spacing w:val="2"/>
                <w:w w:val="90"/>
                <w:sz w:val="22"/>
                <w:szCs w:val="22"/>
              </w:rPr>
              <w:t>安全管理条例</w:t>
            </w:r>
            <w:r>
              <w:rPr>
                <w:rFonts w:ascii="宋体" w:hAnsi="宋体" w:eastAsia="宋体" w:cs="宋体"/>
                <w:w w:val="90"/>
                <w:sz w:val="22"/>
                <w:szCs w:val="22"/>
              </w:rPr>
              <w:t>》</w:t>
            </w:r>
          </w:p>
        </w:tc>
        <w:tc>
          <w:tcPr>
            <w:tcW w:w="66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县市</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场监</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督管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1"/>
                <w:szCs w:val="21"/>
              </w:rPr>
            </w:pPr>
            <w:r>
              <w:rPr>
                <w:rFonts w:hint="eastAsia" w:eastAsia="宋体"/>
                <w:sz w:val="22"/>
                <w:szCs w:val="22"/>
                <w:lang w:val="en-US" w:eastAsia="zh-CN"/>
              </w:rPr>
              <w:t>理局</w:t>
            </w:r>
          </w:p>
        </w:tc>
        <w:tc>
          <w:tcPr>
            <w:tcW w:w="944"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tbl>
      <w:tblPr>
        <w:tblStyle w:val="6"/>
        <w:tblpPr w:leftFromText="180" w:rightFromText="180" w:vertAnchor="text" w:horzAnchor="page" w:tblpX="1843" w:tblpY="236"/>
        <w:tblOverlap w:val="never"/>
        <w:tblW w:w="1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948"/>
        <w:gridCol w:w="1289"/>
        <w:gridCol w:w="3428"/>
        <w:gridCol w:w="3260"/>
        <w:gridCol w:w="2626"/>
        <w:gridCol w:w="700"/>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9"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3" w:lineRule="auto"/>
              <w:jc w:val="center"/>
              <w:textAlignment w:val="baseline"/>
              <w:rPr>
                <w:rFonts w:hint="eastAsia" w:eastAsia="宋体"/>
                <w:sz w:val="22"/>
                <w:szCs w:val="22"/>
                <w:lang w:val="en-US" w:eastAsia="zh-CN"/>
              </w:rPr>
            </w:pPr>
            <w:r>
              <w:rPr>
                <w:sz w:val="22"/>
                <w:szCs w:val="22"/>
              </w:rPr>
              <w:t>8</w:t>
            </w:r>
            <w:r>
              <w:rPr>
                <w:rFonts w:hint="eastAsia"/>
                <w:sz w:val="22"/>
                <w:szCs w:val="22"/>
                <w:lang w:val="en-US" w:eastAsia="zh-CN"/>
              </w:rPr>
              <w:t>7</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农业农村</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rFonts w:hint="eastAsia"/>
                <w:sz w:val="22"/>
                <w:szCs w:val="22"/>
              </w:rPr>
            </w:pPr>
            <w:r>
              <w:rPr>
                <w:rFonts w:hint="eastAsia"/>
                <w:sz w:val="22"/>
                <w:szCs w:val="22"/>
              </w:rPr>
              <w:t>养犬管理</w:t>
            </w:r>
          </w:p>
          <w:p>
            <w:pPr>
              <w:pStyle w:val="7"/>
              <w:keepNext w:val="0"/>
              <w:keepLines w:val="0"/>
              <w:pageBreakBefore w:val="0"/>
              <w:widowControl/>
              <w:kinsoku w:val="0"/>
              <w:wordWrap/>
              <w:overflowPunct w:val="0"/>
              <w:topLinePunct/>
              <w:autoSpaceDE w:val="0"/>
              <w:autoSpaceDN w:val="0"/>
              <w:bidi w:val="0"/>
              <w:adjustRightInd w:val="0"/>
              <w:snapToGrid w:val="0"/>
              <w:spacing w:line="220" w:lineRule="auto"/>
              <w:jc w:val="center"/>
              <w:textAlignment w:val="baseline"/>
              <w:rPr>
                <w:sz w:val="22"/>
                <w:szCs w:val="22"/>
              </w:rPr>
            </w:pPr>
            <w:r>
              <w:rPr>
                <w:rFonts w:hint="eastAsia"/>
                <w:sz w:val="22"/>
                <w:szCs w:val="22"/>
              </w:rPr>
              <w:t>工作</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县(市、区)人民政府应、五台山风景名胜区管理委员会当加强对养犬管理工作的组织领导，将养犬管理工作经费纳入财政预算，建立健全养犬管理工作的保障机制。</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乡(镇)人民政府应当按照职责做好辖区内养犬管理相关工作：办事处应当配合相关行政管理部门做好犬只管理工作。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29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401" w:lineRule="exact"/>
              <w:jc w:val="center"/>
              <w:textAlignment w:val="baseline"/>
              <w:rPr>
                <w:sz w:val="22"/>
                <w:szCs w:val="22"/>
              </w:rPr>
            </w:pPr>
            <w:r>
              <w:rPr>
                <w:rFonts w:hint="eastAsia"/>
                <w:sz w:val="22"/>
                <w:szCs w:val="22"/>
              </w:rPr>
              <w:t>《忻州市犬</w:t>
            </w:r>
            <w:r>
              <w:rPr>
                <w:rFonts w:hint="eastAsia"/>
                <w:sz w:val="22"/>
                <w:szCs w:val="22"/>
                <w:lang w:val="en-US" w:eastAsia="zh-CN"/>
              </w:rPr>
              <w:t>只</w:t>
            </w:r>
            <w:r>
              <w:rPr>
                <w:rFonts w:hint="eastAsia"/>
                <w:sz w:val="22"/>
                <w:szCs w:val="22"/>
              </w:rPr>
              <w:t>管理条例》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业农</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村局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2" w:hRule="atLeast"/>
        </w:trPr>
        <w:tc>
          <w:tcPr>
            <w:tcW w:w="49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eastAsia="宋体"/>
                <w:sz w:val="22"/>
                <w:szCs w:val="22"/>
                <w:lang w:val="en-US" w:eastAsia="zh-CN"/>
              </w:rPr>
            </w:pPr>
            <w:r>
              <w:rPr>
                <w:rFonts w:hint="eastAsia"/>
                <w:sz w:val="22"/>
                <w:szCs w:val="22"/>
                <w:lang w:val="en-US" w:eastAsia="zh-CN"/>
              </w:rPr>
              <w:t>88</w:t>
            </w:r>
          </w:p>
        </w:tc>
        <w:tc>
          <w:tcPr>
            <w:tcW w:w="948"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219" w:lineRule="auto"/>
              <w:jc w:val="center"/>
              <w:textAlignment w:val="baseline"/>
              <w:rPr>
                <w:sz w:val="22"/>
                <w:szCs w:val="22"/>
              </w:rPr>
            </w:pPr>
            <w:r>
              <w:rPr>
                <w:spacing w:val="-2"/>
                <w:sz w:val="22"/>
                <w:szCs w:val="22"/>
              </w:rPr>
              <w:t>城乡建设</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19" w:lineRule="auto"/>
              <w:jc w:val="center"/>
              <w:textAlignment w:val="baseline"/>
              <w:rPr>
                <w:sz w:val="22"/>
                <w:szCs w:val="22"/>
              </w:rPr>
            </w:pPr>
            <w:r>
              <w:rPr>
                <w:rFonts w:hint="eastAsia"/>
                <w:sz w:val="22"/>
                <w:szCs w:val="22"/>
              </w:rPr>
              <w:t>农村自建房屋的指导和监督管理</w:t>
            </w:r>
          </w:p>
        </w:tc>
        <w:tc>
          <w:tcPr>
            <w:tcW w:w="3428"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县(市、区)人民政府农业农村、规划和自然资源、住房和城乡建设、行政审批、市场监督管理等有关部门按照各自职责负责农村自建房屋的指导和监督管理工作</w:t>
            </w:r>
          </w:p>
        </w:tc>
        <w:tc>
          <w:tcPr>
            <w:tcW w:w="3260"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240" w:lineRule="auto"/>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乡(镇)人民政府负责农村宅基地的审批、农村自建房屋的规划许可、农村自建房屋建设的监督、管理和服务.农村自建房屋用作经营场所的现场核查和处理等日常工作</w:t>
            </w:r>
          </w:p>
        </w:tc>
        <w:tc>
          <w:tcPr>
            <w:tcW w:w="2626" w:type="dxa"/>
            <w:vAlign w:val="center"/>
          </w:tcPr>
          <w:p>
            <w:pPr>
              <w:keepNext w:val="0"/>
              <w:keepLines w:val="0"/>
              <w:pageBreakBefore w:val="0"/>
              <w:widowControl/>
              <w:kinsoku w:val="0"/>
              <w:wordWrap/>
              <w:overflowPunct w:val="0"/>
              <w:topLinePunct/>
              <w:autoSpaceDE w:val="0"/>
              <w:autoSpaceDN w:val="0"/>
              <w:bidi w:val="0"/>
              <w:adjustRightInd w:val="0"/>
              <w:snapToGrid w:val="0"/>
              <w:spacing w:line="353" w:lineRule="auto"/>
              <w:jc w:val="both"/>
              <w:textAlignment w:val="baseline"/>
              <w:rPr>
                <w:rFonts w:ascii="Arial"/>
                <w:sz w:val="22"/>
                <w:szCs w:val="22"/>
              </w:rPr>
            </w:pPr>
          </w:p>
          <w:p>
            <w:pPr>
              <w:pStyle w:val="7"/>
              <w:keepNext w:val="0"/>
              <w:keepLines w:val="0"/>
              <w:pageBreakBefore w:val="0"/>
              <w:widowControl/>
              <w:kinsoku w:val="0"/>
              <w:wordWrap/>
              <w:overflowPunct w:val="0"/>
              <w:topLinePunct/>
              <w:autoSpaceDE w:val="0"/>
              <w:autoSpaceDN w:val="0"/>
              <w:bidi w:val="0"/>
              <w:adjustRightInd w:val="0"/>
              <w:snapToGrid w:val="0"/>
              <w:spacing w:before="65" w:line="365" w:lineRule="auto"/>
              <w:ind w:left="166" w:right="164" w:hanging="49"/>
              <w:jc w:val="center"/>
              <w:textAlignment w:val="baseline"/>
              <w:rPr>
                <w:sz w:val="22"/>
                <w:szCs w:val="22"/>
              </w:rPr>
            </w:pPr>
            <w:r>
              <w:rPr>
                <w:spacing w:val="-4"/>
                <w:sz w:val="22"/>
                <w:szCs w:val="22"/>
              </w:rPr>
              <w:t>《忻州市农村</w:t>
            </w:r>
            <w:r>
              <w:rPr>
                <w:spacing w:val="1"/>
                <w:sz w:val="22"/>
                <w:szCs w:val="22"/>
              </w:rPr>
              <w:t>自建房屋管理</w:t>
            </w:r>
            <w:r>
              <w:rPr>
                <w:spacing w:val="-4"/>
                <w:sz w:val="22"/>
                <w:szCs w:val="22"/>
              </w:rPr>
              <w:t>条例》</w:t>
            </w:r>
          </w:p>
        </w:tc>
        <w:tc>
          <w:tcPr>
            <w:tcW w:w="700"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县住</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房和</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城乡</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val="en-US" w:eastAsia="zh-CN"/>
              </w:rPr>
            </w:pPr>
            <w:r>
              <w:rPr>
                <w:rFonts w:hint="eastAsia" w:eastAsia="宋体"/>
                <w:sz w:val="22"/>
                <w:szCs w:val="22"/>
                <w:lang w:val="en-US" w:eastAsia="zh-CN"/>
              </w:rPr>
              <w:t>建设</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管理</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sz w:val="22"/>
                <w:szCs w:val="22"/>
              </w:rPr>
            </w:pPr>
            <w:r>
              <w:rPr>
                <w:rFonts w:hint="eastAsia" w:eastAsia="宋体"/>
                <w:sz w:val="22"/>
                <w:szCs w:val="22"/>
                <w:lang w:val="en-US" w:eastAsia="zh-CN"/>
              </w:rPr>
              <w:t>局</w:t>
            </w:r>
          </w:p>
        </w:tc>
        <w:tc>
          <w:tcPr>
            <w:tcW w:w="962"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eastAsia="宋体"/>
                <w:sz w:val="22"/>
                <w:szCs w:val="22"/>
                <w:lang w:eastAsia="zh-CN"/>
              </w:rPr>
            </w:pPr>
            <w:r>
              <w:rPr>
                <w:rFonts w:hint="eastAsia" w:eastAsia="宋体"/>
                <w:sz w:val="18"/>
                <w:szCs w:val="18"/>
                <w:lang w:eastAsia="zh-CN"/>
              </w:rPr>
              <w:t>聂营镇</w:t>
            </w:r>
          </w:p>
        </w:tc>
      </w:tr>
    </w:tbl>
    <w:p>
      <w:pPr>
        <w:pStyle w:val="7"/>
        <w:keepNext w:val="0"/>
        <w:keepLines w:val="0"/>
        <w:pageBreakBefore w:val="0"/>
        <w:widowControl/>
        <w:kinsoku w:val="0"/>
        <w:wordWrap/>
        <w:overflowPunct w:val="0"/>
        <w:topLinePunct/>
        <w:autoSpaceDE w:val="0"/>
        <w:autoSpaceDN w:val="0"/>
        <w:bidi w:val="0"/>
        <w:adjustRightInd w:val="0"/>
        <w:snapToGrid w:val="0"/>
        <w:spacing w:before="100" w:line="217" w:lineRule="auto"/>
        <w:jc w:val="center"/>
        <w:textAlignment w:val="baseline"/>
        <w:rPr>
          <w:rFonts w:hint="eastAsia"/>
          <w:b/>
          <w:bCs/>
          <w:spacing w:val="-3"/>
          <w:lang w:eastAsia="zh-CN"/>
        </w:rPr>
      </w:pPr>
      <w:r>
        <w:rPr>
          <w:rFonts w:hint="eastAsia"/>
          <w:b/>
          <w:bCs/>
          <w:spacing w:val="-3"/>
          <w:lang w:eastAsia="zh-CN"/>
        </w:rPr>
        <w:br w:type="page"/>
      </w:r>
    </w:p>
    <w:tbl>
      <w:tblPr>
        <w:tblStyle w:val="6"/>
        <w:tblW w:w="13730"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2"/>
        <w:gridCol w:w="935"/>
        <w:gridCol w:w="1289"/>
        <w:gridCol w:w="3441"/>
        <w:gridCol w:w="3247"/>
        <w:gridCol w:w="2576"/>
        <w:gridCol w:w="687"/>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5"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89</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文明行为</w:t>
            </w:r>
          </w:p>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促进工住</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县(市、区)精神文明建设指导委员会统一领导本行政区域内的文明行为促进工作，县(市、区)精神文明建设工作机构具体负责本行政区域内文明行为促进工作。县(市、区)人民政府及其部门应当按照职责做好文明行为促进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乡(镇)人民政府、办事处、群众组织应当按照各自职责做好文明行为促进工作。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9" w:lineRule="auto"/>
              <w:ind w:left="0" w:right="0"/>
              <w:jc w:val="center"/>
              <w:textAlignment w:val="baseline"/>
              <w:rPr>
                <w:sz w:val="32"/>
                <w:szCs w:val="32"/>
              </w:rPr>
            </w:pPr>
          </w:p>
          <w:p>
            <w:pPr>
              <w:keepNext w:val="0"/>
              <w:keepLines w:val="0"/>
              <w:pageBreakBefore w:val="0"/>
              <w:widowControl/>
              <w:kinsoku w:val="0"/>
              <w:wordWrap/>
              <w:overflowPunct w:val="0"/>
              <w:topLinePunct/>
              <w:autoSpaceDE w:val="0"/>
              <w:autoSpaceDN w:val="0"/>
              <w:bidi w:val="0"/>
              <w:adjustRightInd w:val="0"/>
              <w:snapToGrid w:val="0"/>
              <w:spacing w:line="370" w:lineRule="auto"/>
              <w:ind w:left="0" w:right="0" w:firstLine="0"/>
              <w:jc w:val="center"/>
              <w:textAlignment w:val="baseline"/>
              <w:rPr>
                <w:rFonts w:ascii="宋体" w:hAnsi="宋体" w:eastAsia="宋体" w:cs="宋体"/>
                <w:sz w:val="20"/>
                <w:szCs w:val="20"/>
              </w:rPr>
            </w:pPr>
            <w:r>
              <w:rPr>
                <w:rFonts w:ascii="宋体" w:hAnsi="宋体" w:eastAsia="宋体" w:cs="宋体"/>
                <w:spacing w:val="-1"/>
                <w:sz w:val="20"/>
                <w:szCs w:val="20"/>
              </w:rPr>
              <w:t>《忻州市文明</w:t>
            </w:r>
            <w:r>
              <w:rPr>
                <w:rFonts w:ascii="宋体" w:hAnsi="宋体" w:eastAsia="宋体" w:cs="宋体"/>
                <w:spacing w:val="2"/>
                <w:sz w:val="20"/>
                <w:szCs w:val="20"/>
              </w:rPr>
              <w:t>行为促进条例</w:t>
            </w:r>
            <w:r>
              <w:rPr>
                <w:rFonts w:ascii="宋体" w:hAnsi="宋体" w:eastAsia="宋体" w:cs="宋体"/>
                <w:sz w:val="20"/>
                <w:szCs w:val="20"/>
              </w:rPr>
              <w:t>》</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default" w:eastAsia="宋体"/>
                <w:sz w:val="22"/>
                <w:szCs w:val="22"/>
                <w:lang w:val="en-US" w:eastAsia="zh-CN"/>
              </w:rPr>
            </w:pPr>
            <w:r>
              <w:rPr>
                <w:rFonts w:hint="eastAsia" w:eastAsia="宋体"/>
                <w:sz w:val="22"/>
                <w:szCs w:val="22"/>
                <w:lang w:val="en-US" w:eastAsia="zh-CN"/>
              </w:rPr>
              <w:t>县文化和旅游</w:t>
            </w:r>
          </w:p>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20"/>
                <w:szCs w:val="20"/>
                <w:lang w:eastAsia="zh-CN"/>
              </w:rPr>
            </w:pPr>
            <w:r>
              <w:rPr>
                <w:rFonts w:hint="eastAsia" w:eastAsia="宋体"/>
                <w:sz w:val="22"/>
                <w:szCs w:val="22"/>
                <w:lang w:val="en-US" w:eastAsia="zh-CN"/>
              </w:rPr>
              <w:t>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聂营镇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0" w:hRule="atLeast"/>
        </w:trPr>
        <w:tc>
          <w:tcPr>
            <w:tcW w:w="512"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default"/>
                <w:spacing w:val="-6"/>
                <w:sz w:val="22"/>
                <w:szCs w:val="22"/>
                <w:lang w:val="en-US" w:eastAsia="zh-CN"/>
              </w:rPr>
            </w:pPr>
            <w:r>
              <w:rPr>
                <w:rFonts w:hint="eastAsia"/>
                <w:spacing w:val="-6"/>
                <w:sz w:val="22"/>
                <w:szCs w:val="22"/>
                <w:lang w:val="en-US" w:eastAsia="zh-CN"/>
              </w:rPr>
              <w:t>90</w:t>
            </w:r>
          </w:p>
        </w:tc>
        <w:tc>
          <w:tcPr>
            <w:tcW w:w="935"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文化旅游</w:t>
            </w:r>
          </w:p>
        </w:tc>
        <w:tc>
          <w:tcPr>
            <w:tcW w:w="1289"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before="65" w:line="184" w:lineRule="auto"/>
              <w:jc w:val="center"/>
              <w:textAlignment w:val="baseline"/>
              <w:rPr>
                <w:rFonts w:hint="eastAsia"/>
                <w:spacing w:val="-6"/>
                <w:sz w:val="22"/>
                <w:szCs w:val="22"/>
                <w:lang w:val="en-US" w:eastAsia="zh-CN"/>
              </w:rPr>
            </w:pPr>
            <w:r>
              <w:rPr>
                <w:rFonts w:hint="eastAsia"/>
                <w:spacing w:val="-6"/>
                <w:sz w:val="22"/>
                <w:szCs w:val="22"/>
                <w:lang w:val="en-US" w:eastAsia="zh-CN"/>
              </w:rPr>
              <w:t>代县历史文化名城的规划、保护、修复、利用和监督管理等工作</w:t>
            </w:r>
          </w:p>
        </w:tc>
        <w:tc>
          <w:tcPr>
            <w:tcW w:w="3441"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代县人民政府负责代县历史文化名城的规划、保护、修复、利用和监督管理等工作：代县人民政府发改、财政、自然资源、住建、公安、文旅、生态环境等部门按照各自职责做好历史文化名城保护的相关工作。</w:t>
            </w:r>
          </w:p>
        </w:tc>
        <w:tc>
          <w:tcPr>
            <w:tcW w:w="3247" w:type="dxa"/>
            <w:vAlign w:val="center"/>
          </w:tcPr>
          <w:p>
            <w:pPr>
              <w:pStyle w:val="7"/>
              <w:keepNext w:val="0"/>
              <w:keepLines w:val="0"/>
              <w:pageBreakBefore w:val="0"/>
              <w:widowControl/>
              <w:kinsoku/>
              <w:wordWrap/>
              <w:overflowPunct w:val="0"/>
              <w:topLinePunct w:val="0"/>
              <w:autoSpaceDE w:val="0"/>
              <w:autoSpaceDN w:val="0"/>
              <w:bidi w:val="0"/>
              <w:adjustRightInd w:val="0"/>
              <w:snapToGrid w:val="0"/>
              <w:spacing w:line="401" w:lineRule="exact"/>
              <w:jc w:val="both"/>
              <w:textAlignment w:val="baseline"/>
              <w:rPr>
                <w:spacing w:val="-3"/>
                <w:position w:val="15"/>
                <w:sz w:val="22"/>
                <w:szCs w:val="22"/>
                <w:lang w:val="en-US" w:eastAsia="en-US"/>
              </w:rPr>
            </w:pPr>
          </w:p>
          <w:p>
            <w:pPr>
              <w:pStyle w:val="7"/>
              <w:keepNext w:val="0"/>
              <w:keepLines w:val="0"/>
              <w:pageBreakBefore w:val="0"/>
              <w:widowControl/>
              <w:kinsoku/>
              <w:wordWrap/>
              <w:overflowPunct w:val="0"/>
              <w:topLinePunct w:val="0"/>
              <w:autoSpaceDE w:val="0"/>
              <w:autoSpaceDN w:val="0"/>
              <w:bidi w:val="0"/>
              <w:adjustRightInd w:val="0"/>
              <w:snapToGrid w:val="0"/>
              <w:spacing w:line="401" w:lineRule="exact"/>
              <w:ind w:left="0" w:firstLine="428" w:firstLineChars="200"/>
              <w:jc w:val="both"/>
              <w:textAlignment w:val="baseline"/>
              <w:rPr>
                <w:spacing w:val="-3"/>
                <w:position w:val="15"/>
                <w:sz w:val="22"/>
                <w:szCs w:val="22"/>
                <w:lang w:val="en-US" w:eastAsia="en-US"/>
              </w:rPr>
            </w:pPr>
            <w:r>
              <w:rPr>
                <w:spacing w:val="-3"/>
                <w:position w:val="15"/>
                <w:sz w:val="22"/>
                <w:szCs w:val="22"/>
                <w:lang w:val="en-US" w:eastAsia="en-US"/>
              </w:rPr>
              <w:t>代县有关乡(镇)和村(居)民委员会负责做好辖区内历史文化名城保护管理的相关工作</w:t>
            </w:r>
          </w:p>
        </w:tc>
        <w:tc>
          <w:tcPr>
            <w:tcW w:w="2576" w:type="dxa"/>
            <w:vAlign w:val="center"/>
          </w:tcPr>
          <w:p>
            <w:pPr>
              <w:pStyle w:val="7"/>
              <w:keepNext w:val="0"/>
              <w:keepLines w:val="0"/>
              <w:pageBreakBefore w:val="0"/>
              <w:widowControl/>
              <w:kinsoku w:val="0"/>
              <w:wordWrap/>
              <w:overflowPunct w:val="0"/>
              <w:topLinePunct/>
              <w:autoSpaceDE w:val="0"/>
              <w:autoSpaceDN w:val="0"/>
              <w:bidi w:val="0"/>
              <w:adjustRightInd w:val="0"/>
              <w:snapToGrid w:val="0"/>
              <w:spacing w:line="268" w:lineRule="auto"/>
              <w:ind w:left="0" w:right="0"/>
              <w:jc w:val="both"/>
              <w:textAlignment w:val="baseline"/>
            </w:pPr>
          </w:p>
          <w:p>
            <w:pPr>
              <w:keepNext w:val="0"/>
              <w:keepLines w:val="0"/>
              <w:pageBreakBefore w:val="0"/>
              <w:widowControl/>
              <w:kinsoku w:val="0"/>
              <w:wordWrap/>
              <w:overflowPunct w:val="0"/>
              <w:topLinePunct/>
              <w:autoSpaceDE w:val="0"/>
              <w:autoSpaceDN w:val="0"/>
              <w:bidi w:val="0"/>
              <w:adjustRightInd w:val="0"/>
              <w:snapToGrid w:val="0"/>
              <w:spacing w:line="360" w:lineRule="auto"/>
              <w:ind w:left="0" w:right="0" w:hanging="49"/>
              <w:jc w:val="center"/>
              <w:textAlignment w:val="baseline"/>
              <w:rPr>
                <w:rFonts w:ascii="宋体" w:hAnsi="宋体" w:eastAsia="宋体" w:cs="宋体"/>
                <w:sz w:val="20"/>
                <w:szCs w:val="20"/>
              </w:rPr>
            </w:pPr>
            <w:r>
              <w:rPr>
                <w:rFonts w:ascii="宋体" w:hAnsi="宋体" w:eastAsia="宋体" w:cs="宋体"/>
                <w:spacing w:val="-3"/>
                <w:sz w:val="20"/>
                <w:szCs w:val="20"/>
              </w:rPr>
              <w:t>《忻州市代县</w:t>
            </w:r>
            <w:r>
              <w:rPr>
                <w:rFonts w:ascii="宋体" w:hAnsi="宋体" w:eastAsia="宋体" w:cs="宋体"/>
                <w:spacing w:val="-2"/>
                <w:sz w:val="20"/>
                <w:szCs w:val="20"/>
              </w:rPr>
              <w:t>历史文化名城</w:t>
            </w:r>
          </w:p>
          <w:p>
            <w:pPr>
              <w:keepNext w:val="0"/>
              <w:keepLines w:val="0"/>
              <w:pageBreakBefore w:val="0"/>
              <w:widowControl/>
              <w:kinsoku w:val="0"/>
              <w:wordWrap/>
              <w:overflowPunct w:val="0"/>
              <w:topLinePunct/>
              <w:autoSpaceDE w:val="0"/>
              <w:autoSpaceDN w:val="0"/>
              <w:bidi w:val="0"/>
              <w:adjustRightInd w:val="0"/>
              <w:snapToGrid w:val="0"/>
              <w:spacing w:line="219" w:lineRule="auto"/>
              <w:ind w:left="0" w:right="0"/>
              <w:jc w:val="center"/>
              <w:textAlignment w:val="baseline"/>
              <w:rPr>
                <w:rFonts w:ascii="宋体" w:hAnsi="宋体" w:eastAsia="宋体" w:cs="宋体"/>
                <w:sz w:val="20"/>
                <w:szCs w:val="20"/>
              </w:rPr>
            </w:pPr>
            <w:r>
              <w:rPr>
                <w:rFonts w:ascii="宋体" w:hAnsi="宋体" w:eastAsia="宋体" w:cs="宋体"/>
                <w:spacing w:val="-3"/>
                <w:sz w:val="20"/>
                <w:szCs w:val="20"/>
              </w:rPr>
              <w:t>保护条例》</w:t>
            </w:r>
          </w:p>
        </w:tc>
        <w:tc>
          <w:tcPr>
            <w:tcW w:w="687"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ascii="宋体" w:hAnsi="宋体" w:eastAsia="宋体" w:cs="宋体"/>
                <w:sz w:val="20"/>
                <w:szCs w:val="20"/>
              </w:rPr>
            </w:pPr>
            <w:r>
              <w:rPr>
                <w:rFonts w:hint="eastAsia" w:eastAsia="宋体"/>
                <w:sz w:val="22"/>
                <w:szCs w:val="22"/>
                <w:lang w:val="en-US" w:eastAsia="zh-CN"/>
              </w:rPr>
              <w:t>县住房和城乡建设管理局</w:t>
            </w:r>
          </w:p>
        </w:tc>
        <w:tc>
          <w:tcPr>
            <w:tcW w:w="1043" w:type="dxa"/>
            <w:vAlign w:val="center"/>
          </w:tcPr>
          <w:p>
            <w:pPr>
              <w:keepNext w:val="0"/>
              <w:keepLines w:val="0"/>
              <w:pageBreakBefore w:val="0"/>
              <w:widowControl/>
              <w:kinsoku w:val="0"/>
              <w:wordWrap/>
              <w:overflowPunct w:val="0"/>
              <w:topLinePunct/>
              <w:autoSpaceDE w:val="0"/>
              <w:autoSpaceDN w:val="0"/>
              <w:bidi w:val="0"/>
              <w:adjustRightInd w:val="0"/>
              <w:snapToGrid w:val="0"/>
              <w:spacing w:line="243" w:lineRule="auto"/>
              <w:jc w:val="center"/>
              <w:textAlignment w:val="baseline"/>
              <w:rPr>
                <w:rFonts w:hint="eastAsia" w:ascii="宋体" w:hAnsi="宋体" w:eastAsia="宋体" w:cs="宋体"/>
                <w:sz w:val="18"/>
                <w:szCs w:val="18"/>
                <w:lang w:eastAsia="zh-CN"/>
              </w:rPr>
            </w:pPr>
            <w:r>
              <w:rPr>
                <w:rFonts w:hint="eastAsia" w:eastAsia="宋体"/>
                <w:sz w:val="18"/>
                <w:szCs w:val="18"/>
                <w:lang w:eastAsia="zh-CN"/>
              </w:rPr>
              <w:t>聂营镇</w:t>
            </w:r>
          </w:p>
        </w:tc>
      </w:tr>
    </w:tbl>
    <w:p>
      <w:pPr>
        <w:keepNext w:val="0"/>
        <w:keepLines w:val="0"/>
        <w:pageBreakBefore w:val="0"/>
        <w:widowControl/>
        <w:kinsoku w:val="0"/>
        <w:wordWrap/>
        <w:overflowPunct w:val="0"/>
        <w:topLinePunct/>
        <w:autoSpaceDE w:val="0"/>
        <w:autoSpaceDN w:val="0"/>
        <w:bidi w:val="0"/>
        <w:adjustRightInd w:val="0"/>
        <w:snapToGrid w:val="0"/>
        <w:textAlignment w:val="baseline"/>
        <w:rPr>
          <w:rFonts w:hint="eastAsia" w:ascii="Arial" w:eastAsia="宋体"/>
          <w:sz w:val="22"/>
          <w:szCs w:val="22"/>
          <w:lang w:eastAsia="zh-CN"/>
        </w:rPr>
      </w:pPr>
    </w:p>
    <w:sectPr>
      <w:footerReference r:id="rId5" w:type="default"/>
      <w:pgSz w:w="16830" w:h="11900"/>
      <w:pgMar w:top="850" w:right="1394" w:bottom="567" w:left="105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1.15pt;margin-top:-14.25pt;height:144pt;width:144pt;mso-position-horizontal-relative:margin;mso-wrap-style:none;z-index:251659264;mso-width-relative:page;mso-height-relative:page;" filled="f" stroked="f" coordsize="21600,21600" o:gfxdata="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vo6WvZAAAACw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lhYzAwYjliZjJiMWVkMTg0MTQ3ODkzNzdhMGM5MTQifQ=="/>
  </w:docVars>
  <w:rsids>
    <w:rsidRoot w:val="00000000"/>
    <w:rsid w:val="003B643A"/>
    <w:rsid w:val="06C0181E"/>
    <w:rsid w:val="0EE303C9"/>
    <w:rsid w:val="165002A6"/>
    <w:rsid w:val="168102A7"/>
    <w:rsid w:val="1F101E4F"/>
    <w:rsid w:val="1FCB798C"/>
    <w:rsid w:val="207F2647"/>
    <w:rsid w:val="225B2C40"/>
    <w:rsid w:val="23EE024D"/>
    <w:rsid w:val="27BA6857"/>
    <w:rsid w:val="2AFB4FC0"/>
    <w:rsid w:val="2B8B40A2"/>
    <w:rsid w:val="2E2978C3"/>
    <w:rsid w:val="32E92589"/>
    <w:rsid w:val="35DA1C76"/>
    <w:rsid w:val="373C022C"/>
    <w:rsid w:val="378679C0"/>
    <w:rsid w:val="38AF1657"/>
    <w:rsid w:val="397855D8"/>
    <w:rsid w:val="3ADE1E51"/>
    <w:rsid w:val="3C1423E3"/>
    <w:rsid w:val="3FEC0F24"/>
    <w:rsid w:val="494A590D"/>
    <w:rsid w:val="49D653DA"/>
    <w:rsid w:val="4EDE7C89"/>
    <w:rsid w:val="4F754A92"/>
    <w:rsid w:val="53CE4770"/>
    <w:rsid w:val="54E30339"/>
    <w:rsid w:val="561F3061"/>
    <w:rsid w:val="56BF31F8"/>
    <w:rsid w:val="59C56616"/>
    <w:rsid w:val="5BEA5EBF"/>
    <w:rsid w:val="5E01269F"/>
    <w:rsid w:val="63AE61D3"/>
    <w:rsid w:val="64F03A56"/>
    <w:rsid w:val="65143C77"/>
    <w:rsid w:val="65457634"/>
    <w:rsid w:val="67E81E4D"/>
    <w:rsid w:val="6D361539"/>
    <w:rsid w:val="6E3A7667"/>
    <w:rsid w:val="74EF77E8"/>
    <w:rsid w:val="75A1492F"/>
    <w:rsid w:val="75E55C1E"/>
    <w:rsid w:val="76E61C4D"/>
    <w:rsid w:val="7769462C"/>
    <w:rsid w:val="7C7FCD2F"/>
    <w:rsid w:val="7D9F45E6"/>
    <w:rsid w:val="7FA27977"/>
    <w:rsid w:val="BFFED46A"/>
    <w:rsid w:val="EFBEBAA6"/>
    <w:rsid w:val="F7F4A5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25585</Words>
  <Characters>25876</Characters>
  <TotalTime>1</TotalTime>
  <ScaleCrop>false</ScaleCrop>
  <LinksUpToDate>false</LinksUpToDate>
  <CharactersWithSpaces>25878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2024-03-20T18:04:00Z</dcterms:created>
  <dc:creator>Administrator</dc:creator>
  <cp:lastModifiedBy>11:大梦</cp:lastModifiedBy>
  <cp:lastPrinted>2024-04-12T11:35:00Z</cp:lastPrinted>
  <dcterms:modified xsi:type="dcterms:W3CDTF">2024-06-06T09:16:31Z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2024-03-19T18:04:24Z</vt:filetime>
  </property>
  <property fmtid="{D5CDD505-2E9C-101B-9397-08002B2CF9AE}" pid="4" name="UsrData">
    <vt:lpwstr>65f9632471bc50001f6a0ff0wl</vt:lpwstr>
  </property>
  <property fmtid="{D5CDD505-2E9C-101B-9397-08002B2CF9AE}" pid="5" name="KSOProductBuildVer">
    <vt:lpwstr>2052-12.1.0.16929</vt:lpwstr>
  </property>
  <property fmtid="{D5CDD505-2E9C-101B-9397-08002B2CF9AE}" pid="6" name="ICV">
    <vt:lpwstr>E2A7235E58C24E588F1B8F052C852D7C_13</vt:lpwstr>
  </property>
</Properties>
</file>