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附件</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660" w:lineRule="exact"/>
        <w:jc w:val="center"/>
        <w:textAlignment w:val="baseline"/>
        <w:rPr>
          <w:rFonts w:hint="eastAsia" w:ascii="方正小标宋简体" w:hAnsi="方正小标宋简体" w:eastAsia="方正小标宋简体" w:cs="方正小标宋简体"/>
          <w:sz w:val="24"/>
          <w:szCs w:val="24"/>
          <w:lang w:eastAsia="zh-CN"/>
        </w:rPr>
      </w:pPr>
      <w:r>
        <w:rPr>
          <w:rFonts w:hint="eastAsia" w:ascii="方正小标宋简体" w:hAnsi="方正小标宋简体" w:eastAsia="方正小标宋简体" w:cs="方正小标宋简体"/>
          <w:sz w:val="44"/>
          <w:szCs w:val="44"/>
          <w:lang w:eastAsia="zh-CN"/>
        </w:rPr>
        <w:t>代县</w:t>
      </w:r>
      <w:r>
        <w:rPr>
          <w:rFonts w:hint="eastAsia" w:ascii="方正小标宋简体" w:hAnsi="方正小标宋简体" w:eastAsia="方正小标宋简体" w:cs="方正小标宋简体"/>
          <w:sz w:val="44"/>
          <w:szCs w:val="44"/>
        </w:rPr>
        <w:t>营商环境创新提升改革事项清单</w:t>
      </w:r>
    </w:p>
    <w:tbl>
      <w:tblPr>
        <w:tblStyle w:val="9"/>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5"/>
        <w:gridCol w:w="1785"/>
        <w:gridCol w:w="5070"/>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55" w:type="dxa"/>
            <w:vAlign w:val="center"/>
          </w:tcPr>
          <w:p>
            <w:pPr>
              <w:widowControl w:val="0"/>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955" w:type="dxa"/>
            <w:vAlign w:val="center"/>
          </w:tcPr>
          <w:p>
            <w:pPr>
              <w:widowControl w:val="0"/>
              <w:jc w:val="center"/>
              <w:rPr>
                <w:rFonts w:hint="eastAsia" w:ascii="方正小标宋简体" w:hAnsi="方正小标宋简体" w:eastAsia="方正小标宋简体" w:cs="方正小标宋简体"/>
                <w:sz w:val="44"/>
                <w:szCs w:val="44"/>
                <w:vertAlign w:val="baseline"/>
                <w:lang w:val="en-US" w:eastAsia="zh-CN"/>
              </w:rPr>
            </w:pPr>
            <w:r>
              <w:rPr>
                <w:rFonts w:hint="eastAsia" w:ascii="宋体" w:hAnsi="宋体" w:eastAsia="宋体" w:cs="宋体"/>
                <w:sz w:val="24"/>
                <w:szCs w:val="24"/>
                <w:lang w:val="en-US" w:eastAsia="zh-CN"/>
              </w:rPr>
              <w:t>1</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完善公平竞争审查机制，推进实施第三方评估，加大反不正当竞争执法力度</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lang w:eastAsia="zh-CN"/>
              </w:rPr>
            </w:pPr>
            <w:r>
              <w:rPr>
                <w:rFonts w:hint="eastAsia" w:ascii="宋体" w:hAnsi="宋体" w:eastAsia="宋体" w:cs="宋体"/>
                <w:sz w:val="21"/>
                <w:szCs w:val="21"/>
              </w:rPr>
              <w:t>出台公平竞争审查会审、抽查检查制度，完善公平竞争审查机制。支持政策制定机关在公平竞争审查工作中引入第三方评估。持续强化医药、教育、公用事业等领域执法，严厉查处不正当竞争行为</w:t>
            </w:r>
            <w:r>
              <w:rPr>
                <w:rFonts w:hint="eastAsia" w:ascii="宋体" w:hAnsi="宋体" w:eastAsia="宋体" w:cs="宋体"/>
                <w:sz w:val="21"/>
                <w:szCs w:val="21"/>
                <w:lang w:eastAsia="zh-CN"/>
              </w:rPr>
              <w:t>。</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市场</w:t>
            </w:r>
            <w:r>
              <w:rPr>
                <w:rFonts w:hint="eastAsia" w:ascii="宋体" w:hAnsi="宋体" w:eastAsia="宋体" w:cs="宋体"/>
                <w:sz w:val="21"/>
                <w:szCs w:val="21"/>
                <w:lang w:eastAsia="zh-CN"/>
              </w:rPr>
              <w:t>监管</w:t>
            </w:r>
            <w:r>
              <w:rPr>
                <w:rFonts w:hint="eastAsia" w:ascii="宋体" w:hAnsi="宋体" w:eastAsia="宋体" w:cs="宋体"/>
                <w:sz w:val="21"/>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清理设置非必要条件排斥潜在竞争者行为</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lang w:eastAsia="zh-CN"/>
              </w:rPr>
            </w:pPr>
            <w:r>
              <w:rPr>
                <w:rFonts w:hint="eastAsia" w:ascii="宋体" w:hAnsi="宋体" w:eastAsia="宋体" w:cs="宋体"/>
                <w:sz w:val="21"/>
                <w:szCs w:val="21"/>
              </w:rPr>
              <w:t>全面清理资质资格获取、招投标、政府采购、权益保护等方面妨碍公平竞争、生产要素市场化配置和商品服务流通的不合理限制条件</w:t>
            </w:r>
            <w:r>
              <w:rPr>
                <w:rFonts w:hint="eastAsia" w:ascii="宋体" w:hAnsi="宋体" w:eastAsia="宋体" w:cs="宋体"/>
                <w:sz w:val="21"/>
                <w:szCs w:val="21"/>
                <w:lang w:eastAsia="zh-CN"/>
              </w:rPr>
              <w:t>。</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行政审批局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市场</w:t>
            </w:r>
            <w:r>
              <w:rPr>
                <w:rFonts w:hint="eastAsia" w:ascii="宋体" w:hAnsi="宋体" w:eastAsia="宋体" w:cs="宋体"/>
                <w:sz w:val="21"/>
                <w:szCs w:val="21"/>
                <w:lang w:eastAsia="zh-CN"/>
              </w:rPr>
              <w:t>监管</w:t>
            </w:r>
            <w:r>
              <w:rPr>
                <w:rFonts w:hint="eastAsia" w:ascii="宋体" w:hAnsi="宋体" w:eastAsia="宋体" w:cs="宋体"/>
                <w:sz w:val="21"/>
                <w:szCs w:val="21"/>
              </w:rPr>
              <w:t>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发改</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清理规范涉企收费，健全遏制乱收费、乱摊派的长效机制，着力纠正各类中介垄断经营、强制服务行为</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lang w:eastAsia="zh-CN"/>
              </w:rPr>
            </w:pPr>
            <w:r>
              <w:rPr>
                <w:rFonts w:hint="eastAsia" w:ascii="宋体" w:hAnsi="宋体" w:eastAsia="宋体" w:cs="宋体"/>
                <w:sz w:val="21"/>
                <w:szCs w:val="21"/>
              </w:rPr>
              <w:t>落实新的降费减负政策，推动降低实体经济企业负担。查处行业协会商会利用行政委托事项、行业特殊地位违规强制收费行为。通过收费(基金)目录、涉企非税收入负面清单等目录清单合理确定收费项目。充分利用财政票据管理系统加强监管，严格规范不合理收费项目和行为。坚决查处各类乱收费，及时处理对乱收费的投诉举报</w:t>
            </w:r>
            <w:r>
              <w:rPr>
                <w:rFonts w:hint="eastAsia" w:ascii="宋体" w:hAnsi="宋体" w:eastAsia="宋体" w:cs="宋体"/>
                <w:sz w:val="21"/>
                <w:szCs w:val="21"/>
                <w:lang w:eastAsia="zh-CN"/>
              </w:rPr>
              <w:t>。</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市场</w:t>
            </w:r>
            <w:r>
              <w:rPr>
                <w:rFonts w:hint="eastAsia" w:ascii="宋体" w:hAnsi="宋体" w:eastAsia="宋体" w:cs="宋体"/>
                <w:sz w:val="21"/>
                <w:szCs w:val="21"/>
                <w:lang w:eastAsia="zh-CN"/>
              </w:rPr>
              <w:t>监管</w:t>
            </w:r>
            <w:r>
              <w:rPr>
                <w:rFonts w:hint="eastAsia" w:ascii="宋体" w:hAnsi="宋体" w:eastAsia="宋体" w:cs="宋体"/>
                <w:sz w:val="21"/>
                <w:szCs w:val="21"/>
              </w:rPr>
              <w:t>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发改</w:t>
            </w:r>
            <w:r>
              <w:rPr>
                <w:rFonts w:hint="eastAsia" w:ascii="宋体" w:hAnsi="宋体" w:eastAsia="宋体" w:cs="宋体"/>
                <w:sz w:val="21"/>
                <w:szCs w:val="21"/>
                <w:lang w:eastAsia="zh-CN"/>
              </w:rPr>
              <w:t>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财政局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建立营商环境法治保障共同体</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lang w:eastAsia="zh-CN"/>
              </w:rPr>
            </w:pPr>
            <w:r>
              <w:rPr>
                <w:rFonts w:hint="eastAsia" w:ascii="宋体" w:hAnsi="宋体" w:eastAsia="宋体" w:cs="宋体"/>
                <w:sz w:val="21"/>
                <w:szCs w:val="21"/>
              </w:rPr>
              <w:t>畅通政策制度设计、执行、反馈沟通渠道，发现、研究、解决优化营商环境制度性瓶颈和体制机制问题，为法治化营商环境建设提供智力支持</w:t>
            </w:r>
            <w:r>
              <w:rPr>
                <w:rFonts w:hint="eastAsia" w:ascii="宋体" w:hAnsi="宋体" w:eastAsia="宋体" w:cs="宋体"/>
                <w:sz w:val="21"/>
                <w:szCs w:val="21"/>
                <w:lang w:eastAsia="zh-CN"/>
              </w:rPr>
              <w:t>。</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司法局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加强市场主体合法权益保护</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lang w:eastAsia="zh-CN"/>
              </w:rPr>
            </w:pPr>
            <w:r>
              <w:rPr>
                <w:rFonts w:hint="eastAsia" w:ascii="宋体" w:hAnsi="宋体" w:eastAsia="宋体" w:cs="宋体"/>
                <w:sz w:val="21"/>
                <w:szCs w:val="21"/>
              </w:rPr>
              <w:t>依法、平等、全面保护企业家自主经营权、财产权、知识产权和其他合法权益。强化执法监督，严格区分经济纠纷与刑事犯罪，定期组织甄别涉及重大财产处置的产权纠纷、民营企业和投资人犯罪案件，严厉打击侵犯民营企业投资者、管理者和从业人员合法权益的违法犯罪行为</w:t>
            </w:r>
            <w:r>
              <w:rPr>
                <w:rFonts w:hint="eastAsia" w:ascii="宋体" w:hAnsi="宋体" w:eastAsia="宋体" w:cs="宋体"/>
                <w:sz w:val="21"/>
                <w:szCs w:val="21"/>
                <w:lang w:eastAsia="zh-CN"/>
              </w:rPr>
              <w:t>。</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法院</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检察院</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公安局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司法局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市场</w:t>
            </w:r>
            <w:r>
              <w:rPr>
                <w:rFonts w:hint="eastAsia" w:ascii="宋体" w:hAnsi="宋体" w:eastAsia="宋体" w:cs="宋体"/>
                <w:sz w:val="21"/>
                <w:szCs w:val="21"/>
                <w:lang w:eastAsia="zh-CN"/>
              </w:rPr>
              <w:t>监管</w:t>
            </w:r>
            <w:r>
              <w:rPr>
                <w:rFonts w:hint="eastAsia" w:ascii="宋体" w:hAnsi="宋体" w:eastAsia="宋体" w:cs="宋体"/>
                <w:sz w:val="21"/>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955" w:type="dxa"/>
            <w:vMerge w:val="restart"/>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785" w:type="dxa"/>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开展极简审批行动</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lang w:eastAsia="zh-CN"/>
              </w:rPr>
            </w:pPr>
            <w:r>
              <w:rPr>
                <w:rFonts w:hint="eastAsia" w:ascii="宋体" w:hAnsi="宋体" w:eastAsia="宋体" w:cs="宋体"/>
                <w:sz w:val="21"/>
                <w:szCs w:val="21"/>
              </w:rPr>
              <w:t>清理取消一批变相审批，进一步压减工业生产许可证，清理规范目录管理、登记注册、年检年报、指定认定等行政管理措施</w:t>
            </w:r>
            <w:r>
              <w:rPr>
                <w:rFonts w:hint="eastAsia" w:ascii="宋体" w:hAnsi="宋体" w:eastAsia="宋体" w:cs="宋体"/>
                <w:sz w:val="21"/>
                <w:szCs w:val="21"/>
                <w:lang w:eastAsia="zh-CN"/>
              </w:rPr>
              <w:t>。</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行政审批局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市场局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955" w:type="dxa"/>
            <w:vMerge w:val="continue"/>
            <w:vAlign w:val="center"/>
          </w:tcPr>
          <w:p>
            <w:pPr>
              <w:widowControl w:val="0"/>
              <w:jc w:val="center"/>
              <w:rPr>
                <w:rFonts w:hint="default" w:ascii="宋体" w:hAnsi="宋体" w:eastAsia="宋体" w:cs="宋体"/>
                <w:sz w:val="24"/>
                <w:szCs w:val="24"/>
                <w:lang w:val="en-US" w:eastAsia="zh-CN"/>
              </w:rPr>
            </w:pPr>
          </w:p>
        </w:tc>
        <w:tc>
          <w:tcPr>
            <w:tcW w:w="1785" w:type="dxa"/>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lang w:eastAsia="zh-CN"/>
              </w:rPr>
            </w:pPr>
            <w:r>
              <w:rPr>
                <w:rFonts w:hint="eastAsia" w:ascii="宋体" w:hAnsi="宋体" w:eastAsia="宋体" w:cs="宋体"/>
                <w:sz w:val="21"/>
                <w:szCs w:val="21"/>
              </w:rPr>
              <w:t>试点一批投资项目免予技术评审，对不涉及公共利益和公众安全的重大项目和不涉及环保、生产、生命财产安全的企业投资项目及实施承诺制办理的政府服务、区域综合评估项目，原则上不再组织技术评审，实行设计人员终身负责制</w:t>
            </w:r>
            <w:r>
              <w:rPr>
                <w:rFonts w:hint="eastAsia" w:ascii="宋体" w:hAnsi="宋体" w:eastAsia="宋体" w:cs="宋体"/>
                <w:sz w:val="21"/>
                <w:szCs w:val="21"/>
                <w:lang w:eastAsia="zh-CN"/>
              </w:rPr>
              <w:t>。</w:t>
            </w:r>
          </w:p>
        </w:tc>
        <w:tc>
          <w:tcPr>
            <w:tcW w:w="1847" w:type="dxa"/>
            <w:vAlign w:val="center"/>
          </w:tcPr>
          <w:p>
            <w:pPr>
              <w:widowControl w:val="0"/>
              <w:jc w:val="center"/>
              <w:rPr>
                <w:rFonts w:hint="eastAsia" w:ascii="宋体" w:hAnsi="宋体" w:eastAsia="宋体" w:cs="宋体"/>
                <w:sz w:val="21"/>
                <w:szCs w:val="21"/>
                <w:highlight w:val="yellow"/>
              </w:rPr>
            </w:pPr>
            <w:r>
              <w:rPr>
                <w:rFonts w:hint="eastAsia" w:ascii="宋体" w:hAnsi="宋体" w:eastAsia="宋体" w:cs="宋体"/>
                <w:sz w:val="21"/>
                <w:szCs w:val="21"/>
                <w:lang w:eastAsia="zh-CN"/>
              </w:rPr>
              <w:t>县</w:t>
            </w:r>
            <w:r>
              <w:rPr>
                <w:rFonts w:hint="eastAsia" w:ascii="宋体" w:hAnsi="宋体" w:eastAsia="宋体" w:cs="宋体"/>
                <w:sz w:val="21"/>
                <w:szCs w:val="21"/>
              </w:rPr>
              <w:t>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955" w:type="dxa"/>
            <w:vMerge w:val="continue"/>
            <w:vAlign w:val="center"/>
          </w:tcPr>
          <w:p>
            <w:pPr>
              <w:widowControl w:val="0"/>
              <w:jc w:val="center"/>
              <w:rPr>
                <w:rFonts w:hint="default" w:ascii="宋体" w:hAnsi="宋体" w:eastAsia="宋体" w:cs="宋体"/>
                <w:sz w:val="24"/>
                <w:szCs w:val="24"/>
                <w:lang w:val="en-US" w:eastAsia="zh-CN"/>
              </w:rPr>
            </w:pPr>
          </w:p>
        </w:tc>
        <w:tc>
          <w:tcPr>
            <w:tcW w:w="1785" w:type="dxa"/>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探索一批智慧审批服务，推动涉企简易审批事项“秒报秒批”，优化提升市场主体办事体验</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55" w:type="dxa"/>
            <w:vAlign w:val="center"/>
          </w:tcPr>
          <w:p>
            <w:pPr>
              <w:widowControl w:val="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开展极简审批行动</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大力推进“全域通办”。按照市、县“全域通办”事项清单，重点在企业登记、办税缴费、不动产登记等领域，通过全程网办、代收代办等方式，逐步实现全部政务服务事项在全县任一政务服务站点均可办理。推进太原忻州两市政务服务一体化，推进“区域协办”，建设线上服务专区、线下服务专窗，建立协同会商机制。</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便利企业开办</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lang w:val="en-US" w:eastAsia="zh-CN"/>
              </w:rPr>
            </w:pPr>
            <w:r>
              <w:rPr>
                <w:rFonts w:hint="eastAsia" w:ascii="宋体" w:hAnsi="宋体" w:eastAsia="宋体" w:cs="宋体"/>
                <w:sz w:val="21"/>
                <w:szCs w:val="21"/>
              </w:rPr>
              <w:t>深化企业开办“一件事”改革，推行登记注册“一网通、一窗办、半日结、零成本”，将注册登记、公章刻制、发票申领及银行、社保、医保、公积金开户纳入全流程管理。全面推行非接触式发放税务UKey，税务机关免费发放税务UKey。鼓励银行减免开户费用，支持银行免收开户首年套餐服务费</w:t>
            </w:r>
            <w:r>
              <w:rPr>
                <w:rFonts w:hint="eastAsia" w:ascii="宋体" w:hAnsi="宋体" w:eastAsia="宋体" w:cs="宋体"/>
                <w:sz w:val="21"/>
                <w:szCs w:val="21"/>
                <w:lang w:eastAsia="zh-CN"/>
              </w:rPr>
              <w:t>。</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市场监管局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行政审批局</w:t>
            </w:r>
          </w:p>
          <w:p>
            <w:pPr>
              <w:widowControl w:val="0"/>
              <w:jc w:val="center"/>
              <w:rPr>
                <w:rFonts w:hint="eastAsia" w:ascii="宋体" w:hAnsi="宋体" w:eastAsia="宋体" w:cs="宋体"/>
                <w:sz w:val="21"/>
                <w:szCs w:val="21"/>
              </w:rPr>
            </w:pPr>
            <w:r>
              <w:rPr>
                <w:rFonts w:hint="eastAsia" w:ascii="宋体" w:hAnsi="宋体" w:eastAsia="宋体" w:cs="宋体"/>
                <w:sz w:val="21"/>
                <w:szCs w:val="21"/>
              </w:rPr>
              <w:t>人行</w:t>
            </w:r>
            <w:r>
              <w:rPr>
                <w:rFonts w:hint="eastAsia" w:ascii="宋体" w:hAnsi="宋体" w:eastAsia="宋体" w:cs="宋体"/>
                <w:sz w:val="21"/>
                <w:szCs w:val="21"/>
                <w:lang w:eastAsia="zh-CN"/>
              </w:rPr>
              <w:t>代县</w:t>
            </w:r>
            <w:r>
              <w:rPr>
                <w:rFonts w:hint="eastAsia" w:ascii="宋体" w:hAnsi="宋体" w:eastAsia="宋体" w:cs="宋体"/>
                <w:sz w:val="21"/>
                <w:szCs w:val="21"/>
              </w:rPr>
              <w:t>支行</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公安局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人社局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税务局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开展“一照多址”“一证多址”改革</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lang w:eastAsia="zh-CN"/>
              </w:rPr>
            </w:pPr>
            <w:r>
              <w:rPr>
                <w:rFonts w:hint="eastAsia" w:ascii="宋体" w:hAnsi="宋体" w:eastAsia="宋体" w:cs="宋体"/>
                <w:sz w:val="21"/>
                <w:szCs w:val="21"/>
              </w:rPr>
              <w:t>在营业执照上加载经营场所信息，并通过国家企业信用信息公示系统进行公示。分支机构免于办证。在风险可控的情况下，先期在食品领域开展试点，稳步扩大试点范围，企业在同一设区市行业主管部门许可管辖区域内，新设经营项目相同的分支机构时，就其符合许可条件作出承诺后，免于办理相关许可证，相关许可信息记载于企业许可证上</w:t>
            </w:r>
            <w:r>
              <w:rPr>
                <w:rFonts w:hint="eastAsia" w:ascii="宋体" w:hAnsi="宋体" w:eastAsia="宋体" w:cs="宋体"/>
                <w:sz w:val="21"/>
                <w:szCs w:val="21"/>
                <w:lang w:eastAsia="zh-CN"/>
              </w:rPr>
              <w:t>。</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市场监管局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推行“一业一证”改革，探索“多业一证”审批模式</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lang w:eastAsia="zh-CN"/>
              </w:rPr>
            </w:pPr>
            <w:r>
              <w:rPr>
                <w:rFonts w:hint="eastAsia" w:ascii="宋体" w:hAnsi="宋体" w:eastAsia="宋体" w:cs="宋体"/>
                <w:sz w:val="21"/>
                <w:szCs w:val="21"/>
              </w:rPr>
              <w:t>选取餐饮、便利店、药店等30个行业事项关联度高、办理频次高的事项，分批分步组织实施“一业一证”改革。9月底前，完成编制试点行业的综合许可工作规范，整合流程，压减时限，统一要求，按照标准制发行业综合许可证</w:t>
            </w:r>
            <w:r>
              <w:rPr>
                <w:rFonts w:hint="eastAsia" w:ascii="宋体" w:hAnsi="宋体" w:eastAsia="宋体" w:cs="宋体"/>
                <w:sz w:val="21"/>
                <w:szCs w:val="21"/>
                <w:lang w:eastAsia="zh-CN"/>
              </w:rPr>
              <w:t>。</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推行证照“自动延期”服务</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因疫情影响无法正常办理证照延续、变更，且申请人承诺许可、生产、经营等条件未发生变化的，可延期3至6个月完成有关许可的延续、变更手续。</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优化市场主体准入和退出服务</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lang w:eastAsia="zh-CN"/>
              </w:rPr>
            </w:pPr>
            <w:r>
              <w:rPr>
                <w:rFonts w:hint="eastAsia" w:ascii="宋体" w:hAnsi="宋体" w:eastAsia="宋体" w:cs="宋体"/>
                <w:sz w:val="21"/>
                <w:szCs w:val="21"/>
              </w:rPr>
              <w:t>试行市场主体登记确认制。建立市场主体退出府院联动机制，创新简易注销、强制注销、承诺制注销、代位注销等改革。探索推进企业注销“照章联办、照银联办、证照联办、破产联办、税务预检”</w:t>
            </w:r>
            <w:r>
              <w:rPr>
                <w:rFonts w:hint="eastAsia" w:ascii="宋体" w:hAnsi="宋体" w:eastAsia="宋体" w:cs="宋体"/>
                <w:sz w:val="21"/>
                <w:szCs w:val="21"/>
                <w:lang w:eastAsia="zh-CN"/>
              </w:rPr>
              <w:t>。</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行政审批局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法院</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税务局</w:t>
            </w:r>
          </w:p>
          <w:p>
            <w:pPr>
              <w:widowControl w:val="0"/>
              <w:jc w:val="center"/>
              <w:rPr>
                <w:rFonts w:hint="eastAsia" w:ascii="宋体" w:hAnsi="宋体" w:eastAsia="宋体" w:cs="宋体"/>
                <w:sz w:val="21"/>
                <w:szCs w:val="21"/>
              </w:rPr>
            </w:pPr>
            <w:r>
              <w:rPr>
                <w:rFonts w:hint="eastAsia" w:ascii="宋体" w:hAnsi="宋体" w:eastAsia="宋体" w:cs="宋体"/>
                <w:sz w:val="21"/>
                <w:szCs w:val="21"/>
              </w:rPr>
              <w:t>人行</w:t>
            </w:r>
            <w:r>
              <w:rPr>
                <w:rFonts w:hint="eastAsia" w:ascii="宋体" w:hAnsi="宋体" w:eastAsia="宋体" w:cs="宋体"/>
                <w:sz w:val="21"/>
                <w:szCs w:val="21"/>
                <w:lang w:eastAsia="zh-CN"/>
              </w:rPr>
              <w:t>代县</w:t>
            </w:r>
            <w:r>
              <w:rPr>
                <w:rFonts w:hint="eastAsia" w:ascii="宋体" w:hAnsi="宋体" w:eastAsia="宋体" w:cs="宋体"/>
                <w:sz w:val="21"/>
                <w:szCs w:val="21"/>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探索建立市场准入和退出效能评估制度</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lang w:eastAsia="zh-CN"/>
              </w:rPr>
            </w:pPr>
            <w:r>
              <w:rPr>
                <w:rFonts w:hint="eastAsia" w:ascii="宋体" w:hAnsi="宋体" w:eastAsia="宋体" w:cs="宋体"/>
                <w:sz w:val="21"/>
                <w:szCs w:val="21"/>
              </w:rPr>
              <w:t>建立投诉处理机制。加强市场准入负面清单政策宣传，将市场准入审批服务效能、市场准入隐形壁垒破除等问题纳入统一诉求处理机制，建立违反市场准入负面清单制度案例定期通报制度。积极探索建立市场准入、退出效能评估体系。聚焦重点领域开展市场准入和退出效能评估试点。畅通市场主体对隐性壁垒的意见反馈渠道和处理回应机制，适时清理不合时宜的准入、退出限制</w:t>
            </w:r>
            <w:r>
              <w:rPr>
                <w:rFonts w:hint="eastAsia" w:ascii="宋体" w:hAnsi="宋体" w:eastAsia="宋体" w:cs="宋体"/>
                <w:sz w:val="21"/>
                <w:szCs w:val="21"/>
                <w:lang w:eastAsia="zh-CN"/>
              </w:rPr>
              <w:t>。</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发改</w:t>
            </w:r>
            <w:r>
              <w:rPr>
                <w:rFonts w:hint="eastAsia" w:ascii="宋体" w:hAnsi="宋体" w:eastAsia="宋体" w:cs="宋体"/>
                <w:sz w:val="21"/>
                <w:szCs w:val="21"/>
                <w:lang w:eastAsia="zh-CN"/>
              </w:rPr>
              <w:t>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55" w:type="dxa"/>
            <w:vAlign w:val="center"/>
          </w:tcPr>
          <w:p>
            <w:pPr>
              <w:widowControl w:val="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推行企业年度报告“多报合一”改革</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相关部门依法依规共享企业年度报告有关信息，加强部门协作配合，持续推进企业年报“多报合一”改革工作。</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市场监管局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便利企业分支机构、连锁门店信息变更</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lang w:eastAsia="zh-CN"/>
              </w:rPr>
            </w:pPr>
            <w:r>
              <w:rPr>
                <w:rFonts w:hint="eastAsia" w:ascii="宋体" w:hAnsi="宋体" w:eastAsia="宋体" w:cs="宋体"/>
                <w:sz w:val="21"/>
                <w:szCs w:val="21"/>
              </w:rPr>
              <w:t>修改办事指南，加强政策宣传，对大型企业分支机构办理不涉及新办许可证的许可信息变更时，可到</w:t>
            </w:r>
            <w:r>
              <w:rPr>
                <w:rFonts w:hint="eastAsia" w:ascii="宋体" w:hAnsi="宋体" w:eastAsia="宋体" w:cs="宋体"/>
                <w:sz w:val="21"/>
                <w:szCs w:val="21"/>
                <w:lang w:eastAsia="zh-CN"/>
              </w:rPr>
              <w:t>县</w:t>
            </w:r>
            <w:r>
              <w:rPr>
                <w:rFonts w:hint="eastAsia" w:ascii="宋体" w:hAnsi="宋体" w:eastAsia="宋体" w:cs="宋体"/>
                <w:sz w:val="21"/>
                <w:szCs w:val="21"/>
              </w:rPr>
              <w:t>级政务大厅集中统一办理和领证</w:t>
            </w:r>
            <w:r>
              <w:rPr>
                <w:rFonts w:hint="eastAsia" w:ascii="宋体" w:hAnsi="宋体" w:eastAsia="宋体" w:cs="宋体"/>
                <w:sz w:val="21"/>
                <w:szCs w:val="21"/>
                <w:lang w:eastAsia="zh-CN"/>
              </w:rPr>
              <w:t>。</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企业住所(经营场所)标准化登记</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开展市场主体住所</w:t>
            </w:r>
            <w:r>
              <w:rPr>
                <w:rFonts w:hint="eastAsia" w:ascii="宋体" w:hAnsi="宋体" w:eastAsia="宋体" w:cs="宋体"/>
                <w:sz w:val="21"/>
                <w:szCs w:val="21"/>
                <w:lang w:eastAsia="zh-CN"/>
              </w:rPr>
              <w:t>（</w:t>
            </w:r>
            <w:r>
              <w:rPr>
                <w:rFonts w:hint="eastAsia" w:ascii="宋体" w:hAnsi="宋体" w:eastAsia="宋体" w:cs="宋体"/>
                <w:sz w:val="21"/>
                <w:szCs w:val="21"/>
              </w:rPr>
              <w:t>经营场所</w:t>
            </w:r>
            <w:r>
              <w:rPr>
                <w:rFonts w:hint="eastAsia" w:ascii="宋体" w:hAnsi="宋体" w:eastAsia="宋体" w:cs="宋体"/>
                <w:sz w:val="21"/>
                <w:szCs w:val="21"/>
                <w:lang w:eastAsia="zh-CN"/>
              </w:rPr>
              <w:t>）</w:t>
            </w:r>
            <w:r>
              <w:rPr>
                <w:rFonts w:hint="eastAsia" w:ascii="宋体" w:hAnsi="宋体" w:eastAsia="宋体" w:cs="宋体"/>
                <w:sz w:val="21"/>
                <w:szCs w:val="21"/>
              </w:rPr>
              <w:t>申报承诺制+标准地址改革试点，推动与自然资源部门不动产登记信息和民政部门地名管理信息的互联互通，实现住所</w:t>
            </w:r>
            <w:r>
              <w:rPr>
                <w:rFonts w:hint="eastAsia" w:ascii="宋体" w:hAnsi="宋体" w:eastAsia="宋体" w:cs="宋体"/>
                <w:sz w:val="21"/>
                <w:szCs w:val="21"/>
                <w:lang w:eastAsia="zh-CN"/>
              </w:rPr>
              <w:t>（</w:t>
            </w:r>
            <w:r>
              <w:rPr>
                <w:rFonts w:hint="eastAsia" w:ascii="宋体" w:hAnsi="宋体" w:eastAsia="宋体" w:cs="宋体"/>
                <w:sz w:val="21"/>
                <w:szCs w:val="21"/>
              </w:rPr>
              <w:t>经营场所</w:t>
            </w:r>
            <w:r>
              <w:rPr>
                <w:rFonts w:hint="eastAsia" w:ascii="宋体" w:hAnsi="宋体" w:eastAsia="宋体" w:cs="宋体"/>
                <w:sz w:val="21"/>
                <w:szCs w:val="21"/>
                <w:lang w:eastAsia="zh-CN"/>
              </w:rPr>
              <w:t>）</w:t>
            </w:r>
            <w:r>
              <w:rPr>
                <w:rFonts w:hint="eastAsia" w:ascii="宋体" w:hAnsi="宋体" w:eastAsia="宋体" w:cs="宋体"/>
                <w:sz w:val="21"/>
                <w:szCs w:val="21"/>
              </w:rPr>
              <w:t>地址的规范表述，破解虚假地址难题。</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行政审批局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自然资源局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实行企业登记信息变更网上办理</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lang w:eastAsia="zh-CN"/>
              </w:rPr>
            </w:pPr>
            <w:r>
              <w:rPr>
                <w:rFonts w:hint="eastAsia" w:ascii="宋体" w:hAnsi="宋体" w:eastAsia="宋体" w:cs="宋体"/>
                <w:sz w:val="21"/>
                <w:szCs w:val="21"/>
              </w:rPr>
              <w:t>提升企业变更登记在线服务能力。基于“一网通办”平台及大数据资源平台，线上线下办理同步同标，开通具备“全类型、全事项、全流程”在线办理能力的企业变更登记全程网办系统</w:t>
            </w:r>
            <w:r>
              <w:rPr>
                <w:rFonts w:hint="eastAsia" w:ascii="宋体" w:hAnsi="宋体" w:eastAsia="宋体" w:cs="宋体"/>
                <w:sz w:val="21"/>
                <w:szCs w:val="21"/>
                <w:lang w:eastAsia="zh-CN"/>
              </w:rPr>
              <w:t>。</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市场监管局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优化破产企业土地、房产处置程序</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严格按照</w:t>
            </w:r>
            <w:r>
              <w:rPr>
                <w:rFonts w:hint="eastAsia" w:ascii="宋体" w:hAnsi="宋体" w:eastAsia="宋体" w:cs="宋体"/>
                <w:sz w:val="21"/>
                <w:szCs w:val="21"/>
                <w:highlight w:val="none"/>
              </w:rPr>
              <w:t>相关制度标准</w:t>
            </w:r>
            <w:r>
              <w:rPr>
                <w:rFonts w:hint="eastAsia" w:ascii="宋体" w:hAnsi="宋体" w:eastAsia="宋体" w:cs="宋体"/>
                <w:sz w:val="21"/>
                <w:szCs w:val="21"/>
                <w:highlight w:val="none"/>
                <w:lang w:eastAsia="zh-CN"/>
              </w:rPr>
              <w:t>执行</w:t>
            </w:r>
            <w:r>
              <w:rPr>
                <w:rFonts w:hint="eastAsia" w:ascii="宋体" w:hAnsi="宋体" w:eastAsia="宋体" w:cs="宋体"/>
                <w:sz w:val="21"/>
                <w:szCs w:val="21"/>
                <w:highlight w:val="none"/>
              </w:rPr>
              <w:t>。建立府院联动机制。企业破产案件中因债务人资料缺失或第三方机构(如设计、勘察、监理等单位)不配合竣工验收等情形导致无法办理竣工验收的建设工程，经委托有关专业机构对工程质量进行安全鉴定合格后，可办理不动产登记</w:t>
            </w:r>
            <w:r>
              <w:rPr>
                <w:rFonts w:hint="eastAsia" w:ascii="宋体" w:hAnsi="宋体" w:eastAsia="宋体" w:cs="宋体"/>
                <w:sz w:val="21"/>
                <w:szCs w:val="21"/>
                <w:highlight w:val="none"/>
                <w:lang w:eastAsia="zh-CN"/>
              </w:rPr>
              <w:t>。</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法院</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自然资源局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住建局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rPr>
            </w:pPr>
            <w:r>
              <w:rPr>
                <w:rFonts w:hint="eastAsia" w:ascii="宋体" w:hAnsi="宋体" w:eastAsia="宋体" w:cs="宋体"/>
                <w:sz w:val="21"/>
                <w:szCs w:val="21"/>
              </w:rPr>
              <w:t>优化破产案件财产解封及处置机制</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按照</w:t>
            </w:r>
            <w:r>
              <w:rPr>
                <w:rFonts w:hint="eastAsia" w:ascii="宋体" w:hAnsi="宋体" w:eastAsia="宋体" w:cs="宋体"/>
                <w:sz w:val="21"/>
                <w:szCs w:val="21"/>
                <w:highlight w:val="none"/>
              </w:rPr>
              <w:t>破产案件财产处置协调机制改革范围，完善任务分工和工作计划。贯彻落实国家部署及相关规定，建立破产案件财产处置协调机制，对破产案件受理后破产法院或者管理人通知相关单位进行破产财产解封的，相关单位应当及时解封。相关单位未及时解封的，经破产管理人依法向破产受理法院及时报告，破产受理法院通过省、市两级府院联动机制予以协调办理</w:t>
            </w:r>
            <w:r>
              <w:rPr>
                <w:rFonts w:hint="eastAsia" w:ascii="宋体" w:hAnsi="宋体" w:eastAsia="宋体" w:cs="宋体"/>
                <w:sz w:val="21"/>
                <w:szCs w:val="21"/>
                <w:highlight w:val="none"/>
                <w:lang w:eastAsia="zh-CN"/>
              </w:rPr>
              <w:t>。</w:t>
            </w:r>
          </w:p>
        </w:tc>
        <w:tc>
          <w:tcPr>
            <w:tcW w:w="1847" w:type="dxa"/>
            <w:vAlign w:val="center"/>
          </w:tcPr>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法院</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公安局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自然资源局</w:t>
            </w:r>
          </w:p>
          <w:p>
            <w:pPr>
              <w:widowControl w:val="0"/>
              <w:jc w:val="center"/>
              <w:rPr>
                <w:rFonts w:hint="eastAsia" w:ascii="宋体" w:hAnsi="宋体" w:eastAsia="宋体" w:cs="宋体"/>
                <w:sz w:val="21"/>
                <w:szCs w:val="21"/>
              </w:rPr>
            </w:pPr>
            <w:r>
              <w:rPr>
                <w:rFonts w:hint="eastAsia" w:ascii="宋体" w:hAnsi="宋体" w:eastAsia="宋体" w:cs="宋体"/>
                <w:sz w:val="21"/>
                <w:szCs w:val="21"/>
              </w:rPr>
              <w:t>人行</w:t>
            </w:r>
            <w:r>
              <w:rPr>
                <w:rFonts w:hint="eastAsia" w:ascii="宋体" w:hAnsi="宋体" w:eastAsia="宋体" w:cs="宋体"/>
                <w:sz w:val="21"/>
                <w:szCs w:val="21"/>
                <w:lang w:eastAsia="zh-CN"/>
              </w:rPr>
              <w:t>代县</w:t>
            </w:r>
            <w:r>
              <w:rPr>
                <w:rFonts w:hint="eastAsia" w:ascii="宋体" w:hAnsi="宋体" w:eastAsia="宋体" w:cs="宋体"/>
                <w:sz w:val="21"/>
                <w:szCs w:val="21"/>
              </w:rPr>
              <w:t>支行</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税务局</w:t>
            </w:r>
          </w:p>
          <w:p>
            <w:pPr>
              <w:widowControl w:val="0"/>
              <w:jc w:val="center"/>
              <w:rPr>
                <w:rFonts w:hint="eastAsia" w:ascii="宋体" w:hAnsi="宋体" w:eastAsia="宋体" w:cs="宋体"/>
                <w:sz w:val="21"/>
                <w:szCs w:val="21"/>
              </w:rPr>
            </w:pPr>
            <w:r>
              <w:rPr>
                <w:rFonts w:hint="eastAsia" w:ascii="宋体" w:hAnsi="宋体" w:eastAsia="宋体" w:cs="宋体"/>
                <w:sz w:val="21"/>
                <w:szCs w:val="21"/>
                <w:lang w:eastAsia="zh-CN"/>
              </w:rPr>
              <w:t>县</w:t>
            </w:r>
            <w:r>
              <w:rPr>
                <w:rFonts w:hint="eastAsia" w:ascii="宋体" w:hAnsi="宋体" w:eastAsia="宋体" w:cs="宋体"/>
                <w:sz w:val="21"/>
                <w:szCs w:val="21"/>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进一步便利破产管理人查询破产企业财产信息</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明确破产管理人依法查询的破产企业财产信息范围，相关部门按要求增设破产企业信息查询的政府服务事项，按照规范化、便利化的要求，明确具体查询流程。为破产管理人查询破产企业相关信息提供便利。破产管理人提供法院受理破产案件的裁判文书等材料，可向有关行政主管部门申请查询、控制债务人的存款、车辆、不动产、证券、对外投资等财产。</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县法院</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县公安局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县人社局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县税务局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县市场监管局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简化洗染经营者登记手续</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洗染经营者在行政审批部门注册登记后，取消到工信部门办理备案手续，由行政审批部门通过“互联网+监管”系统，直接将相关信息推送给工信部门。</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县工信局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55" w:type="dxa"/>
            <w:vAlign w:val="center"/>
          </w:tcPr>
          <w:p>
            <w:pPr>
              <w:widowControl w:val="0"/>
              <w:jc w:val="center"/>
              <w:rPr>
                <w:rFonts w:hint="eastAsia" w:ascii="宋体" w:hAnsi="宋体" w:eastAsia="宋体" w:cs="宋体"/>
                <w:sz w:val="24"/>
                <w:szCs w:val="24"/>
                <w:lang w:val="en-US" w:eastAsia="zh-CN"/>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进一步扩大电子证照、电子签章应用范围</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在银行贷款、项目申报、招投标、政府采购等业务领域推广在线身份认证、电子证照、行政审批专用电子签章应用，逐步实现在政务服务中互通互认，满足企业、个人在网上办事时对于身份认证、电子证照、加盖电子签章文档的业务需求。鼓励认证机构在认证证书等领域推广使用电子签章。</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县公安局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县财政局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人行代县支行</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县市场监管局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县金融办</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县银保监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22</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推进客货运输电子证照跨区域互认与核验</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道路运输从业人员从业资格证(道路客、货运)、道路运输经营许可证(道路客、货运)、道路运输证(道路客、货运)、营运客车二维码(包含道路运输证、道路客运班线经营信息表的信息)实现互认核验。加强道路运输电子证照宣传推广应用，加强与国家系统对接联网以及与其他系统业务协同，实现相关电子证照跨区域互认与核验。</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县交通局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23</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高频资质证件跨区域互认</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推动实现个人高频服务事项和企业生产经营高频服务事项资质资格证件全县域互认通用。推动实现本级政府部门核发的材料原则上一律免于提交，能够提供电子证照的原则上一律免于提交实体证照。</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推行人民法院档案电子化管理</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落实全市法院电子管理办法，建立符合法院工作实际的电子档案管理工作机制。应用全省法院统一的“电子档案库”。推动立案、审判、执行和诉讼服务、监督管理等全流程电子化，实现材料网上提交、案件网上办理，数据实时存证、卷宗同步生成，功能整合提升、系统集成优化，审判智能辅助、诉讼全程监督。</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25</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开展司法专递面单电子化改革</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开展人民法院专递面单电子化改革。实行企业送达地址默示承诺制。提高企业送达地址告知确认的覆盖率，推动破解“送达难”。</w:t>
            </w:r>
          </w:p>
        </w:tc>
        <w:tc>
          <w:tcPr>
            <w:tcW w:w="1847" w:type="dxa"/>
            <w:vAlign w:val="center"/>
          </w:tcPr>
          <w:p>
            <w:pPr>
              <w:widowControl w:val="0"/>
              <w:spacing w:before="65" w:line="225" w:lineRule="auto"/>
              <w:ind w:left="123" w:leftChars="0"/>
              <w:jc w:val="center"/>
              <w:rPr>
                <w:rFonts w:hint="eastAsia" w:ascii="宋体" w:hAnsi="宋体" w:eastAsia="宋体" w:cs="宋体"/>
                <w:snapToGrid w:val="0"/>
                <w:color w:val="000000"/>
                <w:kern w:val="0"/>
                <w:sz w:val="21"/>
                <w:szCs w:val="21"/>
              </w:rPr>
            </w:pPr>
            <w:r>
              <w:rPr>
                <w:rFonts w:hint="eastAsia" w:ascii="宋体" w:hAnsi="宋体" w:eastAsia="宋体" w:cs="宋体"/>
                <w:spacing w:val="4"/>
                <w:sz w:val="21"/>
                <w:szCs w:val="21"/>
                <w:lang w:eastAsia="zh-CN"/>
              </w:rPr>
              <w:t>县</w:t>
            </w:r>
            <w:r>
              <w:rPr>
                <w:rFonts w:hint="eastAsia" w:ascii="宋体" w:hAnsi="宋体" w:eastAsia="宋体" w:cs="宋体"/>
                <w:spacing w:val="4"/>
                <w:sz w:val="21"/>
                <w:szCs w:val="21"/>
              </w:rPr>
              <w:t>法</w:t>
            </w:r>
            <w:r>
              <w:rPr>
                <w:rFonts w:hint="eastAsia" w:ascii="宋体" w:hAnsi="宋体" w:eastAsia="宋体" w:cs="宋体"/>
                <w:spacing w:val="3"/>
                <w:sz w:val="21"/>
                <w:szCs w:val="21"/>
              </w:rPr>
              <w:t>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26</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p>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优化常用低风险植物和植物产品跨区域流通检疫申请流程</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根据省、市制定发布的农业常用低风险植物和植物产品名单，取消农业常用低风险植物和植物产品省际间调运检疫要求书，优化农业常用低风险植物和植物产品跨区域流通检疫流程。优化林草常用低风险植物和植物产品跨区域流通检疫流程，提高检疫效率。建立事中事后监管工作机制。检疫机构加强检疫证书的查验审核，完善复检制度，加大复查复检力度，严格把好植物和植物产品的检疫关。</w:t>
            </w:r>
          </w:p>
        </w:tc>
        <w:tc>
          <w:tcPr>
            <w:tcW w:w="1847" w:type="dxa"/>
            <w:vAlign w:val="center"/>
          </w:tcPr>
          <w:p>
            <w:pPr>
              <w:widowControl w:val="0"/>
              <w:spacing w:before="65" w:line="266" w:lineRule="auto"/>
              <w:ind w:left="123" w:leftChars="0" w:right="148" w:rightChars="0"/>
              <w:jc w:val="center"/>
              <w:rPr>
                <w:rFonts w:hint="eastAsia" w:ascii="宋体" w:hAnsi="宋体" w:eastAsia="宋体" w:cs="宋体"/>
                <w:snapToGrid w:val="0"/>
                <w:color w:val="000000"/>
                <w:kern w:val="0"/>
                <w:sz w:val="21"/>
                <w:szCs w:val="21"/>
              </w:rPr>
            </w:pPr>
            <w:r>
              <w:rPr>
                <w:rFonts w:hint="eastAsia" w:ascii="宋体" w:hAnsi="宋体" w:eastAsia="宋体" w:cs="宋体"/>
                <w:spacing w:val="7"/>
                <w:sz w:val="21"/>
                <w:szCs w:val="21"/>
                <w:lang w:eastAsia="zh-CN"/>
              </w:rPr>
              <w:t>县</w:t>
            </w:r>
            <w:r>
              <w:rPr>
                <w:rFonts w:hint="eastAsia" w:ascii="宋体" w:hAnsi="宋体" w:eastAsia="宋体" w:cs="宋体"/>
                <w:spacing w:val="5"/>
                <w:sz w:val="21"/>
                <w:szCs w:val="21"/>
              </w:rPr>
              <w:t>农业农村局</w:t>
            </w:r>
            <w:r>
              <w:rPr>
                <w:rFonts w:hint="eastAsia" w:ascii="宋体" w:hAnsi="宋体" w:eastAsia="宋体" w:cs="宋体"/>
                <w:spacing w:val="10"/>
                <w:sz w:val="21"/>
                <w:szCs w:val="21"/>
                <w:lang w:eastAsia="zh-CN"/>
              </w:rPr>
              <w:t>县</w:t>
            </w:r>
            <w:r>
              <w:rPr>
                <w:rFonts w:hint="eastAsia" w:ascii="宋体" w:hAnsi="宋体" w:eastAsia="宋体" w:cs="宋体"/>
                <w:spacing w:val="6"/>
                <w:sz w:val="21"/>
                <w:szCs w:val="21"/>
                <w:lang w:eastAsia="zh-CN"/>
              </w:rPr>
              <w:t>林业</w:t>
            </w:r>
            <w:r>
              <w:rPr>
                <w:rFonts w:hint="eastAsia" w:ascii="宋体" w:hAnsi="宋体" w:eastAsia="宋体" w:cs="宋体"/>
                <w:spacing w:val="6"/>
                <w:sz w:val="21"/>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55" w:type="dxa"/>
            <w:vAlign w:val="center"/>
          </w:tcPr>
          <w:p>
            <w:pPr>
              <w:widowControl w:val="0"/>
              <w:jc w:val="center"/>
              <w:rPr>
                <w:rFonts w:hint="eastAsia" w:ascii="宋体" w:hAnsi="宋体" w:eastAsia="宋体" w:cs="宋体"/>
                <w:sz w:val="24"/>
                <w:szCs w:val="24"/>
                <w:lang w:val="en-US" w:eastAsia="zh-CN"/>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宋体" w:hAnsi="宋体" w:eastAsia="宋体" w:cs="宋体"/>
                <w:spacing w:val="7"/>
                <w:sz w:val="21"/>
                <w:szCs w:val="21"/>
                <w:lang w:eastAsia="zh-CN"/>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8"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27</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提高线上线下政务服务能级</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建立政务服务“全程网办”线上、线下“全代办”制度，助力企业群众网上办事从“能办”向“好办”“快办”“愿办”“爱办”转变。提升“企业专属网页”“个人专属网页”功能，提供智能查询、办事咨询、政策精准推送、诉求反映等服务。加快推进市场主体登记档案电子化、数字化、集成化，提高档案使用利用的服务效能。</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28</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p>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建立招投标和政府采购领域隐性门槛、壁垒，发现、清理和评估工作机制</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广泛利用12345服务热线、专项督查等渠道，主动搜集违规审批、评估评审等事项和办事材料，以及不合理排除和限制竞争、政府部门擅自赋权等具有隐性壁垒性质的问题，制定隐性壁垒清理清单。</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县发改局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县财政局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县交通局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县水利局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县工信局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县农业农村局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29</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清除招投标和政府采购领域对外地企业设置的隐性门槛和壁垒</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全面清理在招投标活动中要求投标单位必须在项目所在地设立分支机构等排斥外地投标人的行为。开展招投标、政府采购领域的不规范行为专项整治，并将妨碍政府采购领域公平竞争的行为作为重点内容，纳入集中采购机构考核和政府采购代理机构评价工作，并且公示结果。</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县发改局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县财政局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县交通局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县水利局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县工信局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县农业农村局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降低创新产品政府采购市场准入门槛</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按照省、市政府采购支持创新产品和服务实施的政策要求，结合省、市发布的创新产品和服务推荐清单，多措并举，持续支持创新产品参与政府采购，激发企业创新潜力。</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县财政局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31</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简化对政府采购供应商资格条件的形式审查</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在政府采购领域全面实行“承诺制＋信用准入”机制，简化供应商财务状况、缴纳税收和社会保障资金等形式审查，积极推进税务、社保等部门数据共享，降低供应商交易成本。</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县财政局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县税务局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32</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推进招投标全流程电子化改革</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持续推进招投标全流程电子化，逐步实现合同签订和变更网上办理，推动标评审专家共享。巩固政府采购业务全流程一体化成果，继续推进政府采购领域电子保函应用。推动电子招投标交易平台与国库支付系统信息共享，完善交易价款结算、手续费支付、电子发票(票据)开具等功能。</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县发改局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55" w:type="dxa"/>
            <w:vAlign w:val="center"/>
          </w:tcPr>
          <w:p>
            <w:pPr>
              <w:widowControl w:val="0"/>
              <w:jc w:val="center"/>
              <w:rPr>
                <w:rFonts w:hint="eastAsia" w:ascii="宋体" w:hAnsi="宋体" w:eastAsia="宋体" w:cs="宋体"/>
                <w:sz w:val="24"/>
                <w:szCs w:val="24"/>
                <w:lang w:val="en-US" w:eastAsia="zh-CN"/>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33</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p>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鼓励采购人提高中小微企业预留份额和预付款比例，加大价格评审优惠力度</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在预算管理中严格落实预留份额面向中小企业采购，鼓励提高预留比例。各主管预算单位应向财政部门报告上年度预留份额及执行情况，并在政府采购网公开预留项目执行情况。未达到法定预留份额比例的，应当说明。在政府采购活动中对依法参与竞争的中小企业给予价格扣除优惠，结合集中采购机构考核、代理机构评价等工作督促落实，并根据工作需要实时抽查。鼓励预算单位建立预付款制度，减小中小企业资金压力，探索预付款保函，保障各方权益。</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34</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探索建立招标计划提前发布制度</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探索推广招标计划提前发布，政府投资的依法必招项目全部实现在招标公告发布之日前30天发布招标计划。在电子招投标系统增加招标计划编制和发布等相关功能。</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县发改局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县交通局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县水利局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县工信局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县农业农村局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35</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优化水利工程招投标手续</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结合实际，按照市水利工程建设项目招标投标领域营商环境专项整治实施方案，将可能存在的水利工程施工招投标工作中以“监理单位已确定”等为条件的情形作为重要内容纳入专项整治范围。通过政策文件清理、随机抽查、重点核查等方式，加大清理整治力度，制定我县具体实施方案。严格落实相关政策法规，加强水利工程建设项目招标投标领域营商环境制度化建设。</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县水利局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36</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推动招投标领域数字证书兼容互认</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企业在任一公共资源交易平台完成注册后，即可在全省范围内参与投标，做到只需注册一次、只用一套CA证书。拓展CA证书功能。扩展移动数字证书认证、扫码签章、扫码加解密等功能。</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县发改局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县交通局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县水利局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县工信局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县农业农村局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55" w:type="dxa"/>
            <w:vMerge w:val="restart"/>
            <w:vAlign w:val="center"/>
          </w:tcPr>
          <w:p>
            <w:pPr>
              <w:widowControl w:val="0"/>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w:t>
            </w:r>
          </w:p>
        </w:tc>
        <w:tc>
          <w:tcPr>
            <w:tcW w:w="1785" w:type="dxa"/>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建立健全知识产权全链条服务和快保护体系</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强化知识产权运用，提升知识产权融资效益，开展打击知识产权侵权专项行动。</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县市场监管局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955" w:type="dxa"/>
            <w:vMerge w:val="continue"/>
            <w:vAlign w:val="center"/>
          </w:tcPr>
          <w:p>
            <w:pPr>
              <w:widowControl w:val="0"/>
              <w:jc w:val="center"/>
              <w:rPr>
                <w:rFonts w:hint="default" w:ascii="宋体" w:hAnsi="宋体" w:eastAsia="宋体" w:cs="宋体"/>
                <w:sz w:val="24"/>
                <w:szCs w:val="24"/>
                <w:highlight w:val="none"/>
                <w:lang w:val="en-US" w:eastAsia="zh-CN"/>
              </w:rPr>
            </w:pPr>
          </w:p>
        </w:tc>
        <w:tc>
          <w:tcPr>
            <w:tcW w:w="1785" w:type="dxa"/>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建成涵盖专利、商标的知识产权服务大厅或专区，专利优先审查推荐和专利费用减缴备案审批时限压缩至5个工作日内。</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县市场监管局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55" w:type="dxa"/>
            <w:vAlign w:val="center"/>
          </w:tcPr>
          <w:p>
            <w:pPr>
              <w:widowControl w:val="0"/>
              <w:jc w:val="center"/>
              <w:rPr>
                <w:rFonts w:hint="eastAsia" w:ascii="宋体" w:hAnsi="宋体" w:eastAsia="宋体" w:cs="宋体"/>
                <w:sz w:val="24"/>
                <w:szCs w:val="24"/>
                <w:lang w:val="en-US" w:eastAsia="zh-CN"/>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38</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优化纳税人申报缴费服务</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进“十一税合一”申报，纳税人在电子税务局通过“财产行为税和企业所得税合并申报”可同时完成财产行为税和企业所得税申报。积极推进小微企业按季度申报，探索企业财务报表与纳税申报表自动转换。全面推行电子发票（票据），加强与财务核算、档案管理系统衔接，推进电子发票（票据）无纸化报销、入账、归档、存储。</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39</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社保数据“领跑”、缴费人“零跑”</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充分依托省数据共享交换平台等现有基础设施，优化税务与人社部门信息共享渠道，提升数据传递速度和精度，减少缴费人等待时间。协同实现数据精准定位，问题快速解决，推动问题处理实时化。实现上解信息自动记账，压缩记账时间，缩短缴费人待遇享受等待期。</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县税务局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40</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开通税费退库快速通道</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运用信息化手段，建立税务、国库部门“按日比对、每日清零”工作机制，建立退库业务国库退回快速处理工作机制，确保发送至国库部门的退税业务最短时间退付至纳税人账户。</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县税务局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人行代县支行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41</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全面实行涉税惠企政策“免申即享”、快速兑现</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提升电子税务局政策服务能力，增加“优惠政策一键获取”功能，支持纳税人“随用随查”。完善电子税务局惠企政策服务功能，根据纳税人身份信息和发票开具信息，自动计算、自动预填减免税额。</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县工信局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42</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企业跨区迁移涉税“无障碍”网上办理</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利用省电子税务局无障碍跨区迁移服务，对符合条件的企业，自动校验市场监管部门变更登记信息，自动将其划到迁入地税务机关，实现跨区迁移全程“网办”。</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43</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涉税事项推出“体检式”风险提示提醒服务</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依托税收风险特征库，为重点纳税人提供“体检式”风险提示提醒服务，帮助纳税人发现生产经营中存在的税收风险，提示提醒纳税人主动消除风险。</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jc w:val="center"/>
        </w:trPr>
        <w:tc>
          <w:tcPr>
            <w:tcW w:w="955" w:type="dxa"/>
            <w:vAlign w:val="center"/>
          </w:tcPr>
          <w:p>
            <w:pPr>
              <w:widowControl w:val="0"/>
              <w:jc w:val="center"/>
              <w:rPr>
                <w:rFonts w:hint="default" w:ascii="黑体" w:hAnsi="黑体" w:eastAsia="黑体" w:cs="黑体"/>
                <w:b w:val="0"/>
                <w:bCs w:val="0"/>
                <w:sz w:val="28"/>
                <w:szCs w:val="28"/>
                <w:lang w:val="en-US" w:eastAsia="zh-CN"/>
              </w:rPr>
            </w:pPr>
            <w:r>
              <w:rPr>
                <w:rFonts w:hint="eastAsia" w:ascii="宋体" w:hAnsi="宋体" w:eastAsia="宋体" w:cs="宋体"/>
                <w:sz w:val="24"/>
                <w:szCs w:val="24"/>
                <w:lang w:val="en-US" w:eastAsia="zh-CN"/>
              </w:rPr>
              <w:t>44</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探索建立市场 主体除名制度</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探索市场主体除名制度，对被列入经营异常名录或者被标记为经营异常状态满两年，且近两年未申报纳税的市场主体， 以及吊销营业执照、责令关闭或者撤销的，且满6个月未申请注销登记或者未办理清算组备案的市场主体，登记机关可以作出强制除名决定。在国家企业信用信息公示系统中以统一社会信用代码替代其名称进行公示。</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县市场监管局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55" w:type="dxa"/>
            <w:vAlign w:val="center"/>
          </w:tcPr>
          <w:p>
            <w:pPr>
              <w:widowControl w:val="0"/>
              <w:jc w:val="center"/>
              <w:rPr>
                <w:rFonts w:hint="eastAsia" w:ascii="宋体" w:hAnsi="宋体" w:eastAsia="宋体" w:cs="宋体"/>
                <w:sz w:val="24"/>
                <w:szCs w:val="24"/>
                <w:lang w:val="en-US" w:eastAsia="zh-CN"/>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45</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推进“区块链+职业技能培训”国家区块链创新应用试点</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动区块链底层技术服务与山西“数字人社”建设相结合，提升人社业务、服务的智能化、精准化水平，在信息基础、数据资源、业务流程等多个方面进行全方位赋能。将培训关键业务数据的上链，通过区块链技术的不可篡改、可追溯等特性，实现培训业务的全程跟踪与监管，确保国家培训政策和制度落到实处，保证资金安全，提高培训资金使用效益。</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46</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推进“区块链+工伤保险一体化”国家区块链创新应用试点</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动区块链底层技术服务与山西“数字人社”建设相结合，提升人社业务、服务的智能化、精准化水平，在信息基础、数据资源、业务流程等多个方面进行全方位赋能。将工伤保险申请材料、关键材料等通过加密方式上链，利用区块链的不可篡改性，保证真实性可靠性，夯实工伤认定、劳动能力鉴定、待遇核定和支付的一体化。</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47</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落实简化检验检测机构人员信息变更办理程序</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检验检测机构变更法定代表人、最高管理者、技术负责人，由检验检测机构在资质认定系统内自主完成相应人员变更信息，资质认定部门直接予以确认。</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48</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推行办理不动产登记涉及的政务信息共享和核验</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联通公安人证比对系统获取高频证照办理不动产登记。通过全省一体化在线政务服务平台，获取已归集的户口簿、身份证、结婚证、离婚证、出生医学证明等高频证照，用于办理不动产登记身份核验。依托全省一体化在线政务服务平台，加强相关部门信息归集，实现火化证明、涉及人员单位的地名地址的共享，以及不动产登记公证书真伪核验服务及电子公证书下载保存服务。</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县公安局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县民政局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县司法局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县卫体局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49</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探索开展不动产登记信息及地籍图可视化查询</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基于PC端、手机端推进系统改造，在已构建的山西不动产登记信息查询服务基础上，通过调用第三方应用地图服务，在公众注册并实名认证后，可在电子地图上对不动产位置进行可视化定位并依法展示出定位点的不动产登记信息、地籍图等信息。</w:t>
            </w:r>
          </w:p>
        </w:tc>
        <w:tc>
          <w:tcPr>
            <w:tcW w:w="1847" w:type="dxa"/>
            <w:vAlign w:val="center"/>
          </w:tcPr>
          <w:p>
            <w:pPr>
              <w:widowControl w:val="0"/>
              <w:jc w:val="center"/>
              <w:rPr>
                <w:rFonts w:hint="eastAsia" w:ascii="宋体" w:hAnsi="宋体" w:eastAsia="宋体" w:cs="宋体"/>
                <w:snapToGrid w:val="0"/>
                <w:color w:val="000000"/>
                <w:kern w:val="0"/>
                <w:sz w:val="21"/>
                <w:szCs w:val="21"/>
              </w:rPr>
            </w:pPr>
            <w:r>
              <w:rPr>
                <w:rFonts w:hint="eastAsia" w:ascii="宋体" w:hAnsi="宋体" w:eastAsia="宋体" w:cs="宋体"/>
                <w:spacing w:val="10"/>
                <w:sz w:val="21"/>
                <w:szCs w:val="21"/>
                <w:lang w:eastAsia="zh-CN"/>
              </w:rPr>
              <w:t>县</w:t>
            </w:r>
            <w:r>
              <w:rPr>
                <w:rFonts w:hint="eastAsia" w:ascii="宋体" w:hAnsi="宋体" w:eastAsia="宋体" w:cs="宋体"/>
                <w:spacing w:val="6"/>
                <w:sz w:val="21"/>
                <w:szCs w:val="21"/>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试行有关法律文书及律师身份在线核验服务</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优化律师查询不动产登记信息流程，司法行政部门向不动产登记机构提供律师事务所和律师执业证基本信息核验，法院提供律师调查令、立案文书等信息在线核验。</w:t>
            </w:r>
          </w:p>
        </w:tc>
        <w:tc>
          <w:tcPr>
            <w:tcW w:w="1847" w:type="dxa"/>
            <w:vAlign w:val="center"/>
          </w:tcPr>
          <w:p>
            <w:pPr>
              <w:widowControl w:val="0"/>
              <w:jc w:val="center"/>
              <w:rPr>
                <w:rFonts w:hint="eastAsia" w:ascii="宋体" w:hAnsi="宋体" w:eastAsia="宋体" w:cs="宋体"/>
                <w:spacing w:val="10"/>
                <w:sz w:val="21"/>
                <w:szCs w:val="21"/>
                <w:lang w:eastAsia="zh-CN"/>
              </w:rPr>
            </w:pPr>
            <w:r>
              <w:rPr>
                <w:rFonts w:hint="eastAsia" w:ascii="宋体" w:hAnsi="宋体" w:eastAsia="宋体" w:cs="宋体"/>
                <w:spacing w:val="10"/>
                <w:sz w:val="21"/>
                <w:szCs w:val="21"/>
                <w:lang w:eastAsia="zh-CN"/>
              </w:rPr>
              <w:t>县法院</w:t>
            </w:r>
          </w:p>
          <w:p>
            <w:pPr>
              <w:widowControl w:val="0"/>
              <w:jc w:val="center"/>
              <w:rPr>
                <w:rFonts w:hint="eastAsia" w:ascii="宋体" w:hAnsi="宋体" w:eastAsia="宋体" w:cs="宋体"/>
                <w:spacing w:val="10"/>
                <w:sz w:val="21"/>
                <w:szCs w:val="21"/>
                <w:lang w:eastAsia="zh-CN"/>
              </w:rPr>
            </w:pPr>
            <w:r>
              <w:rPr>
                <w:rFonts w:hint="eastAsia" w:ascii="宋体" w:hAnsi="宋体" w:eastAsia="宋体" w:cs="宋体"/>
                <w:spacing w:val="10"/>
                <w:sz w:val="21"/>
                <w:szCs w:val="21"/>
                <w:lang w:eastAsia="zh-CN"/>
              </w:rPr>
              <w:t>县自然资源局</w:t>
            </w:r>
          </w:p>
          <w:p>
            <w:pPr>
              <w:widowControl w:val="0"/>
              <w:jc w:val="center"/>
              <w:rPr>
                <w:rFonts w:hint="eastAsia" w:ascii="宋体" w:hAnsi="宋体" w:eastAsia="宋体" w:cs="宋体"/>
                <w:spacing w:val="10"/>
                <w:sz w:val="21"/>
                <w:szCs w:val="21"/>
                <w:lang w:eastAsia="zh-CN"/>
              </w:rPr>
            </w:pPr>
            <w:r>
              <w:rPr>
                <w:rFonts w:hint="eastAsia" w:ascii="宋体" w:hAnsi="宋体" w:eastAsia="宋体" w:cs="宋体"/>
                <w:spacing w:val="10"/>
                <w:sz w:val="21"/>
                <w:szCs w:val="21"/>
                <w:lang w:eastAsia="zh-CN"/>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55" w:type="dxa"/>
            <w:vAlign w:val="center"/>
          </w:tcPr>
          <w:p>
            <w:pPr>
              <w:widowControl w:val="0"/>
              <w:jc w:val="center"/>
              <w:rPr>
                <w:rFonts w:hint="eastAsia" w:ascii="宋体" w:hAnsi="宋体" w:eastAsia="宋体" w:cs="宋体"/>
                <w:sz w:val="24"/>
                <w:szCs w:val="24"/>
                <w:lang w:val="en-US" w:eastAsia="zh-CN"/>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宋体" w:hAnsi="宋体" w:eastAsia="宋体" w:cs="宋体"/>
                <w:spacing w:val="10"/>
                <w:sz w:val="21"/>
                <w:szCs w:val="21"/>
                <w:lang w:eastAsia="zh-CN"/>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51</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试行公安服务“一窗通办”</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落实全省公安机关窗口单位综合服务试点工作方案，在基层派出所开展公安政务服务“一窗通办”试点。推进“一网通一次办”平台与全省一体化在线政务服务平台深度对接，不断拓展应用场景，推进更多事项实现在线办理。</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县公安局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8"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52</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探索形成市场主体全生命周期监管链</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促进监管信息共享。建立监管信息数据采集共享工作机制，实现将与市场主体有关的企业注册登记备案、动产抵押登记、股权出质登记、知识产权出质登记、商标注册、抽查检查结果、司法协助、行政许可、行政处罚、经营异常名录管理、严重违法失信名单等及时准确地归集至市场主体名下，依法依规向“互联网+监管”平台归集。实施企业信用风险分类管理。根据通用企业信用风险分类指标模型，结合监管实际和要求，完善企业信用风险分类管理系统，将“双随机、一公开”监管与企业信用风险分类结果有机结合，针对不同信用风险状况的企业，采取差异化监管措施。</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县市场监管局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县发改局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人行代县支行</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53</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探索重点领域信用分级分类监管制度</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探索建立工程建设、政府采购、生态环境、矿产资源、能源等领域信用分级分类监管制度，开展信用等级评价。</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县财政局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县生态环境局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县能源局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县交通局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54</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完善守信激励和失信惩戒制度</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实施守信激励和失信惩戒措施清单管理制度，积极参与推进跨地区信用标准互认、信用信息交换共享和联动奖惩。</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县发改局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55</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加快构建新型综合监管机制</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健全完善以信用监管为基础、“双随机、一公开”监管为基本手段、“互联网+监管”为主要应用的新型综合监管机制。科学编制年度监管计划，同一年度内对信用风险低、信用水平高的市场主体可合理降低抽查比例和频次，切实减轻企业负担。</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县市场监管局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县发改局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56</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建立跨地区、跨部门、跨层级的联动响应和协同监管机制</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依托省“互联网+监管”系统，建立跨地区、跨部门、跨层级的联动响应和协同监管机制，运用系统相关功能实施协查协办、移送移交、联合执法，违法线索互告、监管标准互通、执法结果互认，实现“一处发起、全网协同”。</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县市场监管局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55" w:type="dxa"/>
            <w:vAlign w:val="center"/>
          </w:tcPr>
          <w:p>
            <w:pPr>
              <w:widowControl w:val="0"/>
              <w:jc w:val="center"/>
              <w:rPr>
                <w:rFonts w:hint="eastAsia" w:ascii="宋体" w:hAnsi="宋体" w:eastAsia="宋体" w:cs="宋体"/>
                <w:sz w:val="24"/>
                <w:szCs w:val="24"/>
                <w:lang w:val="en-US" w:eastAsia="zh-CN"/>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宋体" w:hAnsi="宋体" w:eastAsia="宋体" w:cs="宋体"/>
                <w:spacing w:val="10"/>
                <w:sz w:val="21"/>
                <w:szCs w:val="21"/>
                <w:lang w:eastAsia="zh-CN"/>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8"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57</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推进建立交通运输新业态协同监管机制</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规范交通运输新业态健康稳定发展，结合城市交通秩序集中整治行动，根据本地交通违法和交通事故的规律、特点，突出重点区域、路段和路口，加强对非机动车执法管理，坚持教育与处罚相结合，及时查纠乱停乱放、违法占用机动车道通行、逆行、闯红灯等违法行为，教育、劝阻在路口越线等待交通信号、不满12周岁青少年骑行等违法行为，维护良好通行秩序。</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县交通局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县公安局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县市场监管局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9"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58</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开展职业技能培训综合监管“一件事改革”</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利用信息化手段，积极推进“一网通办”，探索建立职业技能培训综合监管“一件事改革”，探索构建资源有效共享、业务有机协同的职业技能培训综合监管体系，逐步实现职业技能培训机构全周期数据归集共享、全流程风险研判预警，跨部门监管联动响应，实现多渠道监管。</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59</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开展房屋建筑类建设项目综合监管“一件事改革”</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在房屋建筑类新建、改建和扩建项目开展综合监管试点，健全完善综合监管、综合检查、管执联动工作机制，依托省一体化在线政务服务平台，探索运用信用、风险等信息实施更加精准的综合监管模式，形成一批“互联网+”综合监管场景应用。</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建立不予实施行政强制措施清单</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根据违法情节、危害程度等因素，落实省、市不予实施行政强制措施清单，梳理不采取行政强制措施的所涉法律法规具体规定，并出台相关配套制度。</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县税务局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61</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探索建立行政执法人员尽职免责制度</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落实市场监管等领域行政执法人员尽职免责制度，梳理明确具体免责情形或从轻减轻追责情形，探索建立清单管理和正向激励机制。</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955" w:type="dxa"/>
            <w:vAlign w:val="center"/>
          </w:tcPr>
          <w:p>
            <w:pPr>
              <w:widowControl w:val="0"/>
              <w:jc w:val="center"/>
              <w:rPr>
                <w:rFonts w:hint="eastAsia" w:ascii="宋体" w:hAnsi="宋体" w:eastAsia="宋体" w:cs="宋体"/>
                <w:sz w:val="24"/>
                <w:szCs w:val="24"/>
                <w:lang w:val="en-US" w:eastAsia="zh-CN"/>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宋体" w:hAnsi="宋体" w:eastAsia="宋体" w:cs="宋体"/>
                <w:spacing w:val="10"/>
                <w:sz w:val="21"/>
                <w:szCs w:val="21"/>
                <w:lang w:eastAsia="zh-CN"/>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8"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62</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在部分重点领域建立事前事中事后全流程监管机制</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加强重点领域信用监管。落实好消防安全、食品药品、生态环境、医疗卫生、城市管理等省级行业主管部门制定的监管对象信用分类评价指标体系和标准，根据监管对象信用状况采取差异化监管措施。落实事前信用承诺与诚信教育。推动实现事中信用分级监管与分类风险评价，完善事后信用联合惩戒模式，推进整改提高与信用修复挂钩。加强消防安全领域事前事中事后监管。严格执行国家及我市关于消防设计审查、消防验收和备案抽查等规定，对在消防设计审查、消防验收和备案抽查中发现存在违反工程建设消防设计标准或弄虚作假行为的，责令建设单位整改后重新申请消防设计审查、消防验收或消防验收备案。同时计入企业和个人诚信档案，情节严重的，列入严重失信企业名单。实行公众聚集场所投入使用营业前消防安全检查告知承诺管理。进一步完善“双随机、一公开”消防监督抽查工作机制。完善食品生产企业信用监管规范。在通用模型基础上研究制订食品生产企业专业分级模型。加强食品药品领域事前事中事后监管。完善药品流通和使用监管工作机制。优化企业信用量化分级分类监管体系，提高监管效能。加强环境保护领域事前事中事后监管。将生态环境保护执法年度计划、生态环境保护综合行政执法事项目录清单等纳入常态化工作，坚持实施环境行政处罚公示制度。开展常态化年度水土保持事中事后监管检查，探索实施生产建设项目水土保持信用监管“两单”制度。</w:t>
            </w:r>
          </w:p>
        </w:tc>
        <w:tc>
          <w:tcPr>
            <w:tcW w:w="1847" w:type="dxa"/>
            <w:vAlign w:val="center"/>
          </w:tcPr>
          <w:p>
            <w:pPr>
              <w:widowControl w:val="0"/>
              <w:jc w:val="center"/>
              <w:rPr>
                <w:rFonts w:hint="eastAsia" w:ascii="宋体" w:hAnsi="宋体" w:eastAsia="宋体" w:cs="宋体"/>
                <w:spacing w:val="10"/>
                <w:sz w:val="21"/>
                <w:szCs w:val="21"/>
                <w:lang w:eastAsia="zh-CN"/>
              </w:rPr>
            </w:pPr>
            <w:r>
              <w:rPr>
                <w:rFonts w:hint="eastAsia" w:ascii="宋体" w:hAnsi="宋体" w:eastAsia="宋体" w:cs="宋体"/>
                <w:spacing w:val="10"/>
                <w:sz w:val="21"/>
                <w:szCs w:val="21"/>
                <w:lang w:eastAsia="zh-CN"/>
              </w:rPr>
              <w:t>县发改局</w:t>
            </w:r>
          </w:p>
          <w:p>
            <w:pPr>
              <w:widowControl w:val="0"/>
              <w:jc w:val="center"/>
              <w:rPr>
                <w:rFonts w:hint="eastAsia" w:ascii="宋体" w:hAnsi="宋体" w:eastAsia="宋体" w:cs="宋体"/>
                <w:spacing w:val="10"/>
                <w:sz w:val="21"/>
                <w:szCs w:val="21"/>
                <w:lang w:eastAsia="zh-CN"/>
              </w:rPr>
            </w:pPr>
            <w:r>
              <w:rPr>
                <w:rFonts w:hint="eastAsia" w:ascii="宋体" w:hAnsi="宋体" w:eastAsia="宋体" w:cs="宋体"/>
                <w:spacing w:val="10"/>
                <w:sz w:val="21"/>
                <w:szCs w:val="21"/>
                <w:lang w:eastAsia="zh-CN"/>
              </w:rPr>
              <w:t>县生态环境局</w:t>
            </w:r>
          </w:p>
          <w:p>
            <w:pPr>
              <w:widowControl w:val="0"/>
              <w:jc w:val="center"/>
              <w:rPr>
                <w:rFonts w:hint="eastAsia" w:ascii="宋体" w:hAnsi="宋体" w:eastAsia="宋体" w:cs="宋体"/>
                <w:spacing w:val="10"/>
                <w:sz w:val="21"/>
                <w:szCs w:val="21"/>
                <w:lang w:eastAsia="zh-CN"/>
              </w:rPr>
            </w:pPr>
            <w:r>
              <w:rPr>
                <w:rFonts w:hint="eastAsia" w:ascii="宋体" w:hAnsi="宋体" w:eastAsia="宋体" w:cs="宋体"/>
                <w:spacing w:val="10"/>
                <w:sz w:val="21"/>
                <w:szCs w:val="21"/>
                <w:lang w:eastAsia="zh-CN"/>
              </w:rPr>
              <w:t>县住建局</w:t>
            </w:r>
          </w:p>
          <w:p>
            <w:pPr>
              <w:widowControl w:val="0"/>
              <w:jc w:val="center"/>
              <w:rPr>
                <w:rFonts w:hint="eastAsia" w:ascii="宋体" w:hAnsi="宋体" w:eastAsia="宋体" w:cs="宋体"/>
                <w:spacing w:val="10"/>
                <w:sz w:val="21"/>
                <w:szCs w:val="21"/>
                <w:lang w:eastAsia="zh-CN"/>
              </w:rPr>
            </w:pPr>
            <w:r>
              <w:rPr>
                <w:rFonts w:hint="eastAsia" w:ascii="宋体" w:hAnsi="宋体" w:eastAsia="宋体" w:cs="宋体"/>
                <w:spacing w:val="10"/>
                <w:sz w:val="21"/>
                <w:szCs w:val="21"/>
                <w:lang w:eastAsia="zh-CN"/>
              </w:rPr>
              <w:t>县水利局</w:t>
            </w:r>
          </w:p>
          <w:p>
            <w:pPr>
              <w:widowControl w:val="0"/>
              <w:jc w:val="center"/>
              <w:rPr>
                <w:rFonts w:hint="eastAsia" w:ascii="宋体" w:hAnsi="宋体" w:eastAsia="宋体" w:cs="宋体"/>
                <w:spacing w:val="10"/>
                <w:sz w:val="21"/>
                <w:szCs w:val="21"/>
                <w:lang w:eastAsia="zh-CN"/>
              </w:rPr>
            </w:pPr>
            <w:r>
              <w:rPr>
                <w:rFonts w:hint="eastAsia" w:ascii="宋体" w:hAnsi="宋体" w:eastAsia="宋体" w:cs="宋体"/>
                <w:spacing w:val="10"/>
                <w:sz w:val="21"/>
                <w:szCs w:val="21"/>
                <w:lang w:eastAsia="zh-CN"/>
              </w:rPr>
              <w:t>县卫体局</w:t>
            </w:r>
          </w:p>
          <w:p>
            <w:pPr>
              <w:widowControl w:val="0"/>
              <w:jc w:val="center"/>
              <w:rPr>
                <w:rFonts w:hint="eastAsia" w:ascii="宋体" w:hAnsi="宋体" w:eastAsia="宋体" w:cs="宋体"/>
                <w:spacing w:val="10"/>
                <w:sz w:val="21"/>
                <w:szCs w:val="21"/>
                <w:lang w:eastAsia="zh-CN"/>
              </w:rPr>
            </w:pPr>
            <w:r>
              <w:rPr>
                <w:rFonts w:hint="eastAsia" w:ascii="宋体" w:hAnsi="宋体" w:eastAsia="宋体" w:cs="宋体"/>
                <w:spacing w:val="10"/>
                <w:sz w:val="21"/>
                <w:szCs w:val="21"/>
                <w:lang w:eastAsia="zh-CN"/>
              </w:rPr>
              <w:t>县消防救援支队</w:t>
            </w:r>
          </w:p>
          <w:p>
            <w:pPr>
              <w:widowControl w:val="0"/>
              <w:jc w:val="center"/>
              <w:rPr>
                <w:rFonts w:hint="eastAsia" w:ascii="宋体" w:hAnsi="宋体" w:eastAsia="宋体" w:cs="宋体"/>
                <w:spacing w:val="10"/>
                <w:sz w:val="21"/>
                <w:szCs w:val="21"/>
                <w:lang w:eastAsia="zh-CN"/>
              </w:rPr>
            </w:pPr>
            <w:r>
              <w:rPr>
                <w:rFonts w:hint="eastAsia" w:ascii="宋体" w:hAnsi="宋体" w:eastAsia="宋体" w:cs="宋体"/>
                <w:spacing w:val="10"/>
                <w:sz w:val="21"/>
                <w:szCs w:val="21"/>
                <w:lang w:eastAsia="zh-CN"/>
              </w:rPr>
              <w:t>县应急局</w:t>
            </w:r>
          </w:p>
          <w:p>
            <w:pPr>
              <w:widowControl w:val="0"/>
              <w:jc w:val="center"/>
              <w:rPr>
                <w:rFonts w:hint="eastAsia" w:ascii="宋体" w:hAnsi="宋体" w:eastAsia="宋体" w:cs="宋体"/>
                <w:spacing w:val="10"/>
                <w:sz w:val="21"/>
                <w:szCs w:val="21"/>
                <w:lang w:eastAsia="zh-CN"/>
              </w:rPr>
            </w:pPr>
            <w:r>
              <w:rPr>
                <w:rFonts w:hint="eastAsia" w:ascii="宋体" w:hAnsi="宋体" w:eastAsia="宋体" w:cs="宋体"/>
                <w:spacing w:val="10"/>
                <w:sz w:val="21"/>
                <w:szCs w:val="21"/>
                <w:lang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63</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建立完善互联网医院监管平台</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优化升级互联网医院监管平台，并接入省“互联网+监管”系统。完善互联网医院监管平台各项功能，推动各级各类互联网医院信息接入互联网医院监管平台。通过平台对互联网医院的注册科室、执业卫生技术人员、药品目录，诊疗行为中的网上预约、在线问诊、药品配送、电子医嘱、诊疗费用等核心业务数据实施实时监督和管控。</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县卫体局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64</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探索企业重整期间信用修复机制</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建立健全信用评价与修复工作规范，制定有别于正常经营状态的破产企业和自然人信用修复标准。企业进入破产重整程序后，人民法院应及时调整失信惩戒措施，对其司法信用惩戒予以修复。依法依规归集并公示企业重整相关信用信息，加强市场监管、税务、银行、保险、证券等部门信息共享交互，为符合条件的破产重整企业开展信用修复，并及时将修复后的评级推送至“信用山西”平台、省“互联网+监管”系统，及时调整信用限制和惩戒措施。</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县法院</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县发改局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县市场监管局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县税务局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县金融办</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人行代县支行</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代县银保监</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55" w:type="dxa"/>
            <w:vAlign w:val="center"/>
          </w:tcPr>
          <w:p>
            <w:pPr>
              <w:widowControl w:val="0"/>
              <w:jc w:val="center"/>
              <w:rPr>
                <w:rFonts w:hint="eastAsia" w:ascii="宋体" w:hAnsi="宋体" w:eastAsia="宋体" w:cs="宋体"/>
                <w:sz w:val="24"/>
                <w:szCs w:val="24"/>
                <w:lang w:val="en-US" w:eastAsia="zh-CN"/>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宋体" w:hAnsi="宋体" w:eastAsia="宋体" w:cs="宋体"/>
                <w:spacing w:val="10"/>
                <w:sz w:val="21"/>
                <w:szCs w:val="21"/>
                <w:lang w:eastAsia="zh-CN"/>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65</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健全完善政府守信践诺机制</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建立健全“政府承诺+社会监督+失信问责”制度，持续开展政务失信专项治理。建立健全政府清欠工作机制，进一步做好防范和化解拖欠中小企业账款工作，加强政府投资项目的监督检查，保障及时支付中小企业款项。采取政府购买服务等方式,支持信用服务机构、高校及科研院所等第三方机构对各地、各部门政务诚信建设情况进行评估并及时公布评估结果。探索开展政务诚信大数据监测预警</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县发改局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县工信局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66</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建立健全政务诚信诉讼执行协调机制</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将法院发布的涉及政府部门、事业单位失信被执行信息推送给信用信息共享平台，依法依规实施失信联合惩戒。定期对涉政府部门、事业单位失信情况开展考核通报。建立政务失信风险源头预防和化解联动机制，行政违法行为确认、推送、纠正、反馈和责任追究机制，涉政务诚信案件司法审查能力效率优化提升机制</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县法院</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县发改局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67</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探索实行惩罚性赔偿和内部举报人制度</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在重点领域探索实行内部举报人和惩罚性赔偿制度。加强执法检查，对现场检查难以发现的如食品、药品(含疫苗)、环境、安全生产违法行为等，通过企业内部知情人依法查处的，按照不同奖励档次的最高限额予以奖励，并予以严格保护</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县法院</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县生态环境局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县应急局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68</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探索对重点行业从业人员建立个人信用体系</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完善行业执业资格注册人员信用体系建设，通过实施信用量化评分和分类管理，对失信执业资格注册人员在资格管理、日常监督检查、评优评先等方面实施惩戒，营造注册执业人员诚信守法的良好市场环境。探索使用信息化手段管理执业资格注册人员信用信息</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县卫体局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69</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在税务监管领域建立“信用+风险”监管体系</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依托大数据分析应用，探索构建“信用+风险”动态税务监管模式。通过服务提醒、提示更正等手段简化无风险和低风险纳税人的涉税流程，加强或阻断中高风险纳税人涉税业务办理，建立起风险闭环管理体系</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70</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探索建立企业合法权益补偿救济机制</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在债务融资、政府采购、招投标、招商引资等领域，针对因政策变化、规划调整等对企业合法权益造成损失的具体情况，研究依法依规进行救济补偿的路径、方法，适时开展评估论证及督查，加强风险防控稳妥推进</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县司法局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县发改局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县工信局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55" w:type="dxa"/>
            <w:vAlign w:val="center"/>
          </w:tcPr>
          <w:p>
            <w:pPr>
              <w:widowControl w:val="0"/>
              <w:jc w:val="center"/>
              <w:rPr>
                <w:rFonts w:hint="eastAsia" w:ascii="宋体" w:hAnsi="宋体" w:eastAsia="宋体" w:cs="宋体"/>
                <w:sz w:val="24"/>
                <w:szCs w:val="24"/>
                <w:lang w:val="en-US" w:eastAsia="zh-CN"/>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71</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优化网络商品抽检机制</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加大对电子商务经营者销售的本行政区域内的生产者生产的产品和本行政区域内的电子商务经营者销售的产品的抽样力度，重点围绕消费者投诉较多、涉及人体健康、人身财产安全，且危害较大、风险程度较高以及危害程度呈上升趋势的商品开展网络抽检，定期公示抽检结果，并将属地平台中非本地商户抽检结果推送至商户所在地市场监管部门</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3" w:hRule="atLeast"/>
          <w:jc w:val="center"/>
        </w:trPr>
        <w:tc>
          <w:tcPr>
            <w:tcW w:w="955" w:type="dxa"/>
            <w:vMerge w:val="restart"/>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72</w:t>
            </w:r>
          </w:p>
        </w:tc>
        <w:tc>
          <w:tcPr>
            <w:tcW w:w="1785" w:type="dxa"/>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打造政策全生命周期服务链</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强化涉企政策从研究制定、执行落实到废止退出全过程管理，严格落实市场主体参与政策制定制度。利用全省统一的涉企政策平台，汇聚各类涉企政策。聚焦惠企待遇、普惠金融、综合税费、专项资金、用工就业、服务贸易等领域，整合优化各类应用场景推出“政策计算器”，推动企业找政策向政策找企业转变，实现服务事项点单式申请、非接触式办理，企业信息精准匹配。推行认定类、指标达成类等政策“顶格优惠”“免申即享”，符合条件的企业免予申报、直接享受政策</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县工信局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县市场监管局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县财政局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县税务局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955" w:type="dxa"/>
            <w:vMerge w:val="continue"/>
            <w:vAlign w:val="center"/>
          </w:tcPr>
          <w:p>
            <w:pPr>
              <w:widowControl w:val="0"/>
              <w:jc w:val="center"/>
              <w:rPr>
                <w:rFonts w:hint="default" w:ascii="宋体" w:hAnsi="宋体" w:eastAsia="宋体" w:cs="宋体"/>
                <w:sz w:val="24"/>
                <w:szCs w:val="24"/>
                <w:lang w:val="en-US" w:eastAsia="zh-CN"/>
              </w:rPr>
            </w:pPr>
          </w:p>
        </w:tc>
        <w:tc>
          <w:tcPr>
            <w:tcW w:w="1785" w:type="dxa"/>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规范中介服务管理，全面公开中介服务事项名称、所涉审批事项名称、设定依据、实施机构、办结时限、工作流程、申报条件、是否收费及收费标准等。</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73</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打造企业全生命周期服务链</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围绕企业“初创、发展、退出”全生命周期，聚焦企业从注册登记到生产经营过程中用工、融资、税费、招标采购、知识产权、法律等服务，以及注销或者破产等全生命周期事项，分类梳理编制服务事项清单。聚焦服务市场主体倍增工程，强化市场主体培育，整合推出一批“企业全生命周期”服务标准套餐</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县工信局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县税务局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县财政局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县金融办</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74</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打造项目全生命周期服务链</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依托全省一体化在线政务服务平台深度融合投资项目在线审批监管平台、工程建设项目审批管理系统、自然资源“三级联办”系统等，实现项目全程电子化申报、不见面审批、可追溯监管。聚焦重大项目、重点工程招商引资、项目签约、立项、施工、水电气、竣工验收、不动产登记等，推行“首席服务秘书”制度，实行一对一“保姆式”服务。对省、市、县重点投资项目实行“项目长责任制”，为项目落地提供从立项到竣工验收并向不动产登记延伸的全流程高质量服务</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县发改局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县工信局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县市场监管局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55" w:type="dxa"/>
            <w:vAlign w:val="center"/>
          </w:tcPr>
          <w:p>
            <w:pPr>
              <w:widowControl w:val="0"/>
              <w:jc w:val="center"/>
              <w:rPr>
                <w:rFonts w:hint="eastAsia" w:ascii="宋体" w:hAnsi="宋体" w:eastAsia="宋体" w:cs="宋体"/>
                <w:sz w:val="24"/>
                <w:szCs w:val="24"/>
                <w:lang w:val="en-US" w:eastAsia="zh-CN"/>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75</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打造自然人全生命周期服务链</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围绕自然人出生、户籍、教育、就业、住房、医疗、婚姻、生育、退休、后事等10个阶段全生命周期事项进行精准梳理，编制自然人全生命周期服务事项清单，分类推出“一件事”办理套餐</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县卫体局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县公安局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县教育局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县人社局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县医保局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县民政局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76</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加快完善以公租房、保障性租赁住房和共有产权住房为主体的住房保障体系，扩大保障性租赁住房供给</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规范发展公共租赁住房，继续实行实物住房和货币补贴并举，更好地为城镇住房和收入“双困”家庭提供基本住房保障。探索发展共有产权住房，鼓励人口净流入的大城市面向城镇户籍人口发展共有产权住房，逐步扩大到常住人口</w:t>
            </w:r>
          </w:p>
        </w:tc>
        <w:tc>
          <w:tcPr>
            <w:tcW w:w="1847" w:type="dxa"/>
            <w:vAlign w:val="center"/>
          </w:tcPr>
          <w:p>
            <w:pPr>
              <w:widowControl w:val="0"/>
              <w:jc w:val="center"/>
              <w:rPr>
                <w:rFonts w:hint="eastAsia" w:ascii="宋体" w:hAnsi="宋体" w:eastAsia="宋体" w:cs="宋体"/>
                <w:spacing w:val="10"/>
                <w:sz w:val="21"/>
                <w:szCs w:val="21"/>
                <w:lang w:eastAsia="zh-CN"/>
              </w:rPr>
            </w:pPr>
            <w:r>
              <w:rPr>
                <w:rFonts w:hint="eastAsia" w:ascii="宋体" w:hAnsi="宋体" w:eastAsia="宋体" w:cs="宋体"/>
                <w:spacing w:val="10"/>
                <w:sz w:val="21"/>
                <w:szCs w:val="21"/>
                <w:lang w:eastAsia="zh-CN"/>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77</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简化不动产非公证继承手续</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继续严格执行法定继承人或受遗赠人到不动产登记机构办理登记的相关规定。有第一顺序继承人的，无需第二顺序继承人到场。加强申请人身份验证，将非公证继承不动产登记事项纳入电子签批屏申请，留存第一顺位继承人的电子签名、指纹、现场影像资料等</w:t>
            </w:r>
          </w:p>
        </w:tc>
        <w:tc>
          <w:tcPr>
            <w:tcW w:w="1847" w:type="dxa"/>
            <w:vAlign w:val="center"/>
          </w:tcPr>
          <w:p>
            <w:pPr>
              <w:widowControl w:val="0"/>
              <w:jc w:val="center"/>
              <w:rPr>
                <w:rFonts w:hint="eastAsia" w:ascii="宋体" w:hAnsi="宋体" w:eastAsia="宋体" w:cs="宋体"/>
                <w:spacing w:val="10"/>
                <w:sz w:val="21"/>
                <w:szCs w:val="21"/>
                <w:lang w:eastAsia="zh-CN"/>
              </w:rPr>
            </w:pPr>
            <w:r>
              <w:rPr>
                <w:rFonts w:hint="eastAsia" w:ascii="宋体" w:hAnsi="宋体" w:eastAsia="宋体" w:cs="宋体"/>
                <w:spacing w:val="10"/>
                <w:sz w:val="21"/>
                <w:szCs w:val="21"/>
                <w:lang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78</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对办理不动产登记涉及的部分事项试行告知承诺制</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根据忻州市在不动产登记中推行证明事项告知承诺制有关办法，制定代县实施方案，推进在不动产登记中部分证明事项告知承诺制改革。申请人因特殊原因确实难以获取死亡证明、亲属关系证明材料的，可以书面承诺代替死亡证明、亲属关系证明，并承诺若有隐瞒实际情况，给他人造成损失的，承担相应法律责任</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县公安局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县民政局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县卫体局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79</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探索将遗产管理人制度引入不动产非公证继承登记</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在忻州市办理不动产登记时对遗产管理人的认定办法出台后，制定我县具体方案，不动产登记机构按照认定办法认定的遗产管理人，出台遗产管理人参照自然人不动产非公证继承方式办理不动产登记的具体流程</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县法院</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80</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探索对个人存量房交易开放电子发票功能</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动不动产登记部门存量房转移登记网上办理系统与税务部门税收征管系统互联互通，实现资料共享互认。推进纳税人自行申请代开增值税电子普通发票举措，纳税人无需前往线下大厅办理，并可自行下载打印发票</w:t>
            </w:r>
          </w:p>
        </w:tc>
        <w:tc>
          <w:tcPr>
            <w:tcW w:w="1847" w:type="dxa"/>
            <w:vAlign w:val="center"/>
          </w:tcPr>
          <w:p>
            <w:pPr>
              <w:widowControl w:val="0"/>
              <w:jc w:val="center"/>
              <w:rPr>
                <w:rFonts w:hint="eastAsia" w:ascii="宋体" w:hAnsi="宋体" w:eastAsia="宋体" w:cs="宋体"/>
                <w:sz w:val="21"/>
                <w:szCs w:val="21"/>
                <w:lang w:eastAsia="zh-CN"/>
              </w:rPr>
            </w:pP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县税务局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55" w:type="dxa"/>
            <w:vAlign w:val="center"/>
          </w:tcPr>
          <w:p>
            <w:pPr>
              <w:widowControl w:val="0"/>
              <w:jc w:val="center"/>
              <w:rPr>
                <w:rFonts w:hint="eastAsia" w:ascii="宋体" w:hAnsi="宋体" w:eastAsia="宋体" w:cs="宋体"/>
                <w:sz w:val="24"/>
                <w:szCs w:val="24"/>
                <w:lang w:val="en-US" w:eastAsia="zh-CN"/>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宋体" w:hAnsi="宋体" w:eastAsia="宋体" w:cs="宋体"/>
                <w:spacing w:val="10"/>
                <w:sz w:val="21"/>
                <w:szCs w:val="21"/>
                <w:lang w:eastAsia="zh-CN"/>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81</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推进不动产登记、交易、缴税“一网通办”“一窗办理”</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推行“互联网+不动产登记”系统与政府非税收入网上支付平台对接，推动不动产登记、交易和缴纳税费线下“一窗受理、并行办理”，实现税费、登记费线上“一次清缴、后台清分”</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县财政局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人行代县支行</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82</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增加义务教育资源供给，保障持有居住证的适龄随迁子女在流入地义务教育学校入学</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进义务教育优质均衡县域创建工作，继续推进建设改造寄宿制学校，逐步增加义务教育资源供给。明确随迁子女入学不受户籍限制，建立以居住证为主要依据的随迁子女入学政策，督促各地进一步简化入学流程，杜绝不必要的证明材料，逐步提高随迁子女在迁入地公办学校就读（含政府购买学位）比例</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83</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构建多层次的医疗保险制度，解决好就医难、报销难问题</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逐步实现电子病历、检验检查结果、诊疗信息等在全县不同医院互通共享，推动电子健康档案、报告结果等信息对个人开放查询。率先在太原、忻州两市区域内取消异地就医备案。</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县医保局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县卫体局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955" w:type="dxa"/>
            <w:vMerge w:val="restart"/>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84</w:t>
            </w:r>
          </w:p>
        </w:tc>
        <w:tc>
          <w:tcPr>
            <w:tcW w:w="1785" w:type="dxa"/>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推动社会保障卡、交通“一卡通”、住房公积金提取、体育场馆使用更加便利</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进一步拓展以社会保障卡为载体“民生+N”应用服务。在太忻一体化经济区内推动交通“一卡通”。</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县人社局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955" w:type="dxa"/>
            <w:vMerge w:val="continue"/>
            <w:vAlign w:val="center"/>
          </w:tcPr>
          <w:p>
            <w:pPr>
              <w:widowControl w:val="0"/>
              <w:jc w:val="center"/>
              <w:rPr>
                <w:rFonts w:hint="default" w:ascii="宋体" w:hAnsi="宋体" w:eastAsia="宋体" w:cs="宋体"/>
                <w:sz w:val="24"/>
                <w:szCs w:val="24"/>
                <w:lang w:val="en-US" w:eastAsia="zh-CN"/>
              </w:rPr>
            </w:pPr>
          </w:p>
        </w:tc>
        <w:tc>
          <w:tcPr>
            <w:tcW w:w="1785" w:type="dxa"/>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推动跨县域“购房提取住房公积金”网办。支持公共体育场馆免费或低收费开放，打造城市社区“15分钟健身圈”</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县公积金中心</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县体育中心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0"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85</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深化“承诺制+标准地+全代办”改革</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建立“承诺制+标准地+全代办”工作推进机制。各开发区可开展地质灾害、地震安全、压覆矿产、气候可行性、水资源论证、水土保持、防洪、考古调查等评估，并对文物、历史建筑保护对象、古树名木、人防工程、地下管线等进行普查评估，形成评估结果和普查意见清单，并交付用地单位，企业不再提供清单内评估评审报告或出具承诺即可完成审批。完善涉及安全的重点建设工程项目强制性评估与区域评估管理，建立事前辅导服务、事中进度跟踪、事后评价反馈等监管机制。坚持政府定标准、企业作承诺、过程强监管、信用有奖惩，进一步拓展延伸企业投资项目承诺制范围。</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县工信局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县发改局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55" w:type="dxa"/>
            <w:vAlign w:val="center"/>
          </w:tcPr>
          <w:p>
            <w:pPr>
              <w:widowControl w:val="0"/>
              <w:jc w:val="center"/>
              <w:rPr>
                <w:rFonts w:hint="eastAsia" w:ascii="宋体" w:hAnsi="宋体" w:eastAsia="宋体" w:cs="宋体"/>
                <w:sz w:val="24"/>
                <w:szCs w:val="24"/>
                <w:lang w:val="en-US" w:eastAsia="zh-CN"/>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宋体" w:hAnsi="宋体" w:eastAsia="宋体" w:cs="宋体"/>
                <w:spacing w:val="10"/>
                <w:sz w:val="21"/>
                <w:szCs w:val="21"/>
                <w:lang w:eastAsia="zh-CN"/>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0"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86</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推进产业园区规划环评与项目环评联动</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简化环评编制内容。对满足生态环境分区管控要求、落实园区规划环评要求的入区项目，可简化政策规划符合性分析、选址的环境合理性可行性论证、区域生态环境现状调查评价等环评内容。豁免部分项目环评手续。对年用非溶剂型低</w:t>
            </w:r>
            <w:r>
              <w:rPr>
                <w:rFonts w:hint="eastAsia" w:ascii="宋体" w:hAnsi="宋体" w:eastAsia="宋体" w:cs="宋体"/>
                <w:sz w:val="21"/>
                <w:szCs w:val="21"/>
                <w:highlight w:val="none"/>
                <w:lang w:val="en-US" w:eastAsia="zh-CN"/>
              </w:rPr>
              <w:t>VOCs</w:t>
            </w:r>
            <w:r>
              <w:rPr>
                <w:rFonts w:hint="eastAsia" w:ascii="宋体" w:hAnsi="宋体" w:eastAsia="宋体" w:cs="宋体"/>
                <w:sz w:val="21"/>
                <w:szCs w:val="21"/>
                <w:highlight w:val="none"/>
                <w:lang w:eastAsia="zh-CN"/>
              </w:rPr>
              <w:t>含量涂料10吨以下的汽车制造业、专用和通用设备制造业等，以及低于6000千瓦的光伏发电，不涉及环境敏感区的房地产开发等项目，豁免环评手续办理。拓展环评承诺制改革。将环境影响总体可控、就业密集型等民生相关的部分行业纳入环评告知承诺制审批改革试点，项目在收到告知承诺书等要件后，直接作出审批决定，包括社会事业与服务业、制造业、畜牧业、交通运输业等行业项目。加强产业园区环境风险防控体系建设。强化环境质量变化及污染物排放情况监管，依法开展执法监测，定期进行专项检查</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县生态环境局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87</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深化“多规合一”改革</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编制县级国土空间总体规划。统筹划定永久基本农田、生态保护红线、城镇开发边界三条控制线。完善和细化市级主体功能区</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2"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88</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深化“多测合一”改革</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落实山西省推进工程建设项目“多测合一”改革的实施意见。工程建设项目审批全流程涉及的测绘事项包括土地勘测定界、宗地测量、拨地测量、规划放线测量、房产面积预测算、基础竣工核实、规划核实测量、绿地核实测量、人防工程核实测量和地籍房产测量。按照同一标的物只测一次的原则，规划自然资源部门会同住房城乡建设、城市管理和人民防空等主管部门负责整合工程建设项目审批全流程涉及的测绘事项，建立成果共享互认清单，统一测绘成果标准规范，出台实施意见。拓展升级“多测合一”信息系统功能及接口，推进相关审批管理系统与“多测合一”信息系统对接，将测绘成果共享范围扩大至工程建设项目审批全流程，实现“一次委托、联合测绘、成果共享”，避免重复测绘</w:t>
            </w:r>
          </w:p>
        </w:tc>
        <w:tc>
          <w:tcPr>
            <w:tcW w:w="1847" w:type="dxa"/>
            <w:vAlign w:val="center"/>
          </w:tcPr>
          <w:p>
            <w:pPr>
              <w:widowControl w:val="0"/>
              <w:jc w:val="center"/>
              <w:rPr>
                <w:rFonts w:hint="eastAsia" w:ascii="宋体" w:hAnsi="宋体" w:eastAsia="宋体" w:cs="宋体"/>
                <w:sz w:val="21"/>
                <w:szCs w:val="21"/>
                <w:lang w:eastAsia="zh-CN"/>
              </w:rPr>
            </w:pP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县交通局</w:t>
            </w:r>
          </w:p>
          <w:p>
            <w:pPr>
              <w:widowControl w:val="0"/>
              <w:jc w:val="cente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89</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开展联合验收“一口受理”</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对实行联合验收的工程建设项目，依托山西省政务服务在线一体化平台“一口受理”建设单位申请，推进建筑工程领域综合竣工验收的一站式申请和办理。强化主协办工作机制，主办部门牵头受理、按责转办，各部门联合勘验、并行推进、限时办结，避免建设单位反复与多个政府部门沟通协调</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55" w:type="dxa"/>
            <w:vAlign w:val="center"/>
          </w:tcPr>
          <w:p>
            <w:pPr>
              <w:widowControl w:val="0"/>
              <w:jc w:val="center"/>
              <w:rPr>
                <w:rFonts w:hint="eastAsia" w:ascii="宋体" w:hAnsi="宋体" w:eastAsia="宋体" w:cs="宋体"/>
                <w:sz w:val="24"/>
                <w:szCs w:val="24"/>
                <w:lang w:val="en-US" w:eastAsia="zh-CN"/>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宋体" w:hAnsi="宋体" w:eastAsia="宋体" w:cs="宋体"/>
                <w:spacing w:val="10"/>
                <w:sz w:val="21"/>
                <w:szCs w:val="21"/>
                <w:lang w:eastAsia="zh-CN"/>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90</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简化实行联合验收的工程建设项目竣工验收备案手续</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对实行联合验收的工程建设项目，可在通过联合验收后现场出具竣工联合验收意见书，并同步完成竣工验收备案办理，不动产登记等相关部门通过系统数据共享获得需要的验收结果，企业无需再单独办理竣工验收备案</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91</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进一步优化工程建设项目联合验收方式</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进一步完善项目竣工联合验收工作机制，明确参与联合验收的各方职责，优化工作流程，实行综合服务窗口“一口受理”服务。根据项目实际实施分阶段联合验收，引导和支持项目建设单位或验收主管部门采取联合验收的方式完成项目竣工验收。进一步优化和完善审批系统中联合验收功能，增加菜单式服务、预约服务功能，加强用时管理。将单独修建的人防工程纳入综合竣工验收</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0"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92</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试行对已满足使用功能的单位工程开展单</w:t>
            </w:r>
          </w:p>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独竣工验收</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建立完善单位工程竣工验收标准。对已满足使用功能的单位工程开展单独竣工验收。对于涉及多个单位工程的建设项目，在保持规划设计方案完整性前提下，结合项目施工建设计划情况，探索分期、分单体核发建设工程规划许可证。对于重大项目，探索通过告知承诺、属地区政府承诺监管等方式，先行完成主体工程或单体建筑竣工综合验收，支持主体工程或单体建筑尽快投入使用，在项目最后一期或最后一个单体验收前完成出让面积和出让金的核定工作。改革后，各相关部门加强风险管控，确保项目整体符合规划要求和质量安全</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93</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建立完善建筑师负责制</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充分发挥建筑师主导作用，探索在民用和低风险工业建筑工程领域推行建筑师负责制</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8"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94</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推进涉审中介服务事项改革，全面清理“体外循环”“隐性审批”等行为</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强化审批事项清单和审批流程管理，严格落实“清单之外无审批、流程之外无环节”，不得擅自增加审批事项和办理环节。完成工程建设项目审批相关系统(平台)彻底整合，并应用整合后系统进行工程建设项目审批全程网办。将工程建设项目审批服务事项和环节纳入系统统一管理，加强对审批全过程线上监管，实行审批环节超时亮灯预警管理。通过“工程建设项目审批制度改革建议和投诉”微信小程序等方式，广泛征集企业和群众对工程建设项目“体外循环”和“隐性审批”问题建议，持续做好整改</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955" w:type="dxa"/>
            <w:vAlign w:val="center"/>
          </w:tcPr>
          <w:p>
            <w:pPr>
              <w:widowControl w:val="0"/>
              <w:jc w:val="center"/>
              <w:rPr>
                <w:rFonts w:hint="eastAsia" w:ascii="宋体" w:hAnsi="宋体" w:eastAsia="宋体" w:cs="宋体"/>
                <w:sz w:val="24"/>
                <w:szCs w:val="24"/>
                <w:lang w:val="en-US" w:eastAsia="zh-CN"/>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宋体" w:hAnsi="宋体" w:eastAsia="宋体" w:cs="宋体"/>
                <w:spacing w:val="10"/>
                <w:sz w:val="21"/>
                <w:szCs w:val="21"/>
                <w:lang w:eastAsia="zh-CN"/>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3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95</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建立项目前期服务机制，量身订制“一项目一方案一清单”审批服务</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全面落实项目审批“全代办”有关要求，加强项目前期策划生成，通过前期策划生成明确审批流程、事项清单和材料清单，简化项目后续审批手续。建立包含项目名称、申请时间、办理建议等要素在内的项目专属审批(代办)方案和审批清单。12月底前，对两项机制贯彻落实情况进行考核</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8"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96</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优化小型社会投资简易低风险项目审批服务，推动“成交即发证”“交地即开工”“竣工即登记”</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进社会投资简易低风险项目审批专项改革，采取合并办理阶段、推行区域评估和“标准地”出让、免于部分审批手续、简化联合验收、推动全流程在线审批等改革举措，将全流程审批压缩为2个阶段、24个工作日以内。在积极推进“地证同交”改革，对符合条件的“小型社会投资简易低风险项目”，加快实现交地时同步办理土地使用权的首次登记。推动各地不动产登记机构进一步优化业务办理流程，加强信息共享，在项目竣工验收后，及时办理“房地一体”的不动产登记</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97</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开展赋予科研人员职务科技成果所有权或长期使用权试点</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强化科技成果转化全过程管理服务和科技安全管理，建立赋权科技成果转化的免责机制，完善科技成果转化服务体系建设绩效评估指标体系。明晰创新主体和市场主体间产权关系，推进科研院所、高等院校和企业科研力量优化配置和资源共享，推动更多创新成果进入市场</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县教育局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98</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推行水电气暖等市政接入工程涉及的行政审批在线并联办理</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进水电气暖网联动报装改革，全面整合服务事项、业务流程，对供电、供水、供气、供暖等市政接入工程涉及的建设工程规划许可、绿化许可、涉路施工许可等实行全程在线并联办理，对符合条件的市政接入工程审批实行告知承诺管理，对虚假承诺、违反承诺等行为实行惩戒</w:t>
            </w:r>
          </w:p>
        </w:tc>
        <w:tc>
          <w:tcPr>
            <w:tcW w:w="1847" w:type="dxa"/>
            <w:vAlign w:val="center"/>
          </w:tcPr>
          <w:p>
            <w:pPr>
              <w:widowControl w:val="0"/>
              <w:jc w:val="center"/>
              <w:rPr>
                <w:rFonts w:hint="eastAsia" w:ascii="宋体" w:hAnsi="宋体" w:eastAsia="宋体" w:cs="宋体"/>
                <w:sz w:val="21"/>
                <w:szCs w:val="21"/>
                <w:lang w:eastAsia="zh-CN"/>
              </w:rPr>
            </w:pP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县住建局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县公安局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县自然资源局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县交通局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县能源局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99</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便利市场主体融资服务</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贯彻落实“政银企”常态化对接工作机制，推动“政银企”信息互通、共享应用，深化“政采贷”“银税贷”等金融产品应用，创新信用贷款产品，强化银企融资对接。推动在代银行机构和涉信贷有关部门简化申请材料、压缩办理时限、提高服务效率。推动银行、担保机构等制定并落实贷款尽职免责办法。推进区域性股权市场改革创新，为私募股权持有人提供流动性支持和退出渠道</w:t>
            </w:r>
          </w:p>
        </w:tc>
        <w:tc>
          <w:tcPr>
            <w:tcW w:w="1847" w:type="dxa"/>
            <w:vAlign w:val="center"/>
          </w:tcPr>
          <w:p>
            <w:pPr>
              <w:widowControl w:val="0"/>
              <w:jc w:val="center"/>
              <w:rPr>
                <w:rFonts w:hint="eastAsia" w:ascii="宋体" w:hAnsi="宋体" w:eastAsia="宋体" w:cs="宋体"/>
                <w:sz w:val="21"/>
                <w:szCs w:val="21"/>
                <w:lang w:eastAsia="zh-CN"/>
              </w:rPr>
            </w:pP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县金融办</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人行代县支行</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县银保监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55" w:type="dxa"/>
            <w:vAlign w:val="center"/>
          </w:tcPr>
          <w:p>
            <w:pPr>
              <w:widowControl w:val="0"/>
              <w:jc w:val="center"/>
              <w:rPr>
                <w:rFonts w:hint="eastAsia" w:ascii="宋体" w:hAnsi="宋体" w:eastAsia="宋体" w:cs="宋体"/>
                <w:sz w:val="24"/>
                <w:szCs w:val="24"/>
                <w:lang w:val="en-US" w:eastAsia="zh-CN"/>
              </w:rPr>
            </w:pPr>
            <w:r>
              <w:rPr>
                <w:rFonts w:hint="eastAsia" w:ascii="黑体" w:hAnsi="黑体" w:eastAsia="黑体" w:cs="黑体"/>
                <w:b w:val="0"/>
                <w:bCs w:val="0"/>
                <w:sz w:val="28"/>
                <w:szCs w:val="28"/>
              </w:rPr>
              <w:t>序号</w:t>
            </w:r>
          </w:p>
        </w:tc>
        <w:tc>
          <w:tcPr>
            <w:tcW w:w="1785"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改革事项</w:t>
            </w:r>
          </w:p>
        </w:tc>
        <w:tc>
          <w:tcPr>
            <w:tcW w:w="5070" w:type="dxa"/>
            <w:vAlign w:val="center"/>
          </w:tcPr>
          <w:p>
            <w:pPr>
              <w:widowControl w:val="0"/>
              <w:jc w:val="center"/>
              <w:rPr>
                <w:rFonts w:hint="eastAsia" w:ascii="宋体" w:hAnsi="宋体" w:eastAsia="宋体" w:cs="宋体"/>
                <w:sz w:val="21"/>
                <w:szCs w:val="21"/>
                <w:highlight w:val="none"/>
                <w:lang w:eastAsia="zh-CN"/>
              </w:rPr>
            </w:pPr>
            <w:r>
              <w:rPr>
                <w:rFonts w:hint="eastAsia" w:ascii="黑体" w:hAnsi="黑体" w:eastAsia="黑体" w:cs="黑体"/>
                <w:b w:val="0"/>
                <w:bCs w:val="0"/>
                <w:sz w:val="28"/>
                <w:szCs w:val="28"/>
              </w:rPr>
              <w:t>具体举措</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黑体" w:hAnsi="黑体" w:eastAsia="黑体" w:cs="黑体"/>
                <w:b w:val="0"/>
                <w:bCs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培育数据要素市场</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推动构建数据基础服务体系。巩固提升数据标注发展水平和规模，打造专业数据集。积极推动以数据要素为核心的应用服务和产品发展。推动构建数据要素流通机制。支持制定数据要素流通相关环节标准、规范。探索数据权益确认与保障，推进数据要素市场建设，加强个人信息和数据安全保护。探索建立多部门协同的数据交易监管机制</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县工信局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101</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有序开放公共管理和服务机构产生的部分公共数据</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落实省、市政务数据分类分级指南，开展我县政务数据分类分级管理，强化公共数据有序开放。基于政府部门、公共管理和服务机构数据资源目录，探索制定开放目录。引导科研院所、社会团体开放自有数据。推进大数据智能化创新发展，规范数据管理，促进数据政用、商用、民用，保障数据安全，大力培育数据要素市场，加快数字化发展。探索财政、社保、公积金、税务、水电气网等公共数据及各类信用信息依法依规向金融机构开放，提高中小企业融资服务效率</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县工信局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102</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探索制定外籍“高精尖缺”人才地方认定标准</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靶向引进国际一流的战略科技人才、科技领军人才、创新团队和优秀青年科技人才，吸引“高精尖缺”人才来代创新创业，对从国外引进的高层次、急需紧缺人才，根据其业绩和贡献，直接认定相应的职称</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县教育局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jc w:val="center"/>
        </w:trPr>
        <w:tc>
          <w:tcPr>
            <w:tcW w:w="955" w:type="dxa"/>
            <w:vAlign w:val="center"/>
          </w:tcPr>
          <w:p>
            <w:pPr>
              <w:widowControl w:val="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103</w:t>
            </w:r>
          </w:p>
        </w:tc>
        <w:tc>
          <w:tcPr>
            <w:tcW w:w="1785"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探索建立国际职业资格证书认可清单制度</w:t>
            </w:r>
          </w:p>
        </w:tc>
        <w:tc>
          <w:tcPr>
            <w:tcW w:w="5070" w:type="dxa"/>
            <w:vAlign w:val="center"/>
          </w:tcPr>
          <w:p>
            <w:pPr>
              <w:keepNext w:val="0"/>
              <w:keepLines w:val="0"/>
              <w:pageBreakBefore w:val="0"/>
              <w:widowControl w:val="0"/>
              <w:kinsoku/>
              <w:wordWrap/>
              <w:overflowPunct w:val="0"/>
              <w:topLinePunct w:val="0"/>
              <w:autoSpaceDE w:val="0"/>
              <w:autoSpaceDN w:val="0"/>
              <w:bidi w:val="0"/>
              <w:adjustRightInd w:val="0"/>
              <w:snapToGrid w:val="0"/>
              <w:jc w:val="both"/>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探索建立以技能为主的国外职业资格证书及发证机构经审核和注册后认可清单，相关部门进行能力水平认定备案，并加强监管。外国专家在来华工作许可的基础上，持有国际通用的职业资格证书的，直接予以认定，需注册管理的由行业主管部门进行注册后上岗</w:t>
            </w:r>
          </w:p>
        </w:tc>
        <w:tc>
          <w:tcPr>
            <w:tcW w:w="1847" w:type="dxa"/>
            <w:vAlign w:val="center"/>
          </w:tcPr>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县人社局</w:t>
            </w:r>
          </w:p>
          <w:p>
            <w:pPr>
              <w:widowControl w:val="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县行政审批局</w:t>
            </w:r>
          </w:p>
        </w:tc>
      </w:tr>
    </w:tbl>
    <w:p>
      <w:pPr>
        <w:jc w:val="center"/>
        <w:rPr>
          <w:rFonts w:hint="eastAsia" w:ascii="方正小标宋简体" w:hAnsi="方正小标宋简体" w:eastAsia="方正小标宋简体" w:cs="方正小标宋简体"/>
          <w:sz w:val="44"/>
          <w:szCs w:val="44"/>
        </w:rPr>
      </w:pPr>
    </w:p>
    <w:p>
      <w:pPr>
        <w:pStyle w:val="2"/>
        <w:ind w:left="0" w:leftChars="0" w:firstLine="0" w:firstLineChars="0"/>
        <w:rPr>
          <w:rFonts w:hint="eastAsia"/>
        </w:rPr>
      </w:pPr>
      <w:bookmarkStart w:id="0" w:name="_GoBack"/>
      <w:bookmarkEnd w:id="0"/>
    </w:p>
    <w:sectPr>
      <w:footerReference r:id="rId5" w:type="default"/>
      <w:pgSz w:w="11906" w:h="16838"/>
      <w:pgMar w:top="1587" w:right="1474" w:bottom="1417"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hYzAwYjliZjJiMWVkMTg0MTQ3ODkzNzdhMGM5MTQifQ=="/>
  </w:docVars>
  <w:rsids>
    <w:rsidRoot w:val="2EC115C9"/>
    <w:rsid w:val="00647DA1"/>
    <w:rsid w:val="00AB7A64"/>
    <w:rsid w:val="02275FF6"/>
    <w:rsid w:val="032C18D0"/>
    <w:rsid w:val="05EE4BF5"/>
    <w:rsid w:val="07564BE6"/>
    <w:rsid w:val="0776431C"/>
    <w:rsid w:val="0B36483C"/>
    <w:rsid w:val="0EE0259E"/>
    <w:rsid w:val="0F62103A"/>
    <w:rsid w:val="1C3C0423"/>
    <w:rsid w:val="21146235"/>
    <w:rsid w:val="229E3A5D"/>
    <w:rsid w:val="24114C89"/>
    <w:rsid w:val="25186C3B"/>
    <w:rsid w:val="254D24CE"/>
    <w:rsid w:val="272B2EAE"/>
    <w:rsid w:val="2EC115C9"/>
    <w:rsid w:val="36205A5C"/>
    <w:rsid w:val="36513CE6"/>
    <w:rsid w:val="3A7B57D6"/>
    <w:rsid w:val="3ABD36C6"/>
    <w:rsid w:val="3F2B0279"/>
    <w:rsid w:val="48CC74E4"/>
    <w:rsid w:val="48DB08EE"/>
    <w:rsid w:val="4C8F6EBF"/>
    <w:rsid w:val="52815C64"/>
    <w:rsid w:val="55CC1202"/>
    <w:rsid w:val="5BE2525D"/>
    <w:rsid w:val="5C626C67"/>
    <w:rsid w:val="60260BFC"/>
    <w:rsid w:val="60D427B3"/>
    <w:rsid w:val="638546F5"/>
    <w:rsid w:val="65A935FF"/>
    <w:rsid w:val="66622396"/>
    <w:rsid w:val="68BD7556"/>
    <w:rsid w:val="711944B2"/>
    <w:rsid w:val="714B789A"/>
    <w:rsid w:val="77B743C2"/>
    <w:rsid w:val="78373604"/>
    <w:rsid w:val="79E30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23632</Words>
  <Characters>23840</Characters>
  <Lines>0</Lines>
  <Paragraphs>0</Paragraphs>
  <TotalTime>33</TotalTime>
  <ScaleCrop>false</ScaleCrop>
  <LinksUpToDate>false</LinksUpToDate>
  <CharactersWithSpaces>23900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2022-10-20T02:33:00Z</dcterms:created>
  <dc:creator>猴lili</dc:creator>
  <cp:lastModifiedBy>Administrator</cp:lastModifiedBy>
  <cp:lastPrinted>2022-12-16T03:52:00Z</cp:lastPrinted>
  <dcterms:modified xsi:type="dcterms:W3CDTF">2023-01-06T08:37:29Z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AE3EB44A9B564C6A9372AC9BED00CF6E</vt:lpwstr>
  </property>
</Properties>
</file>