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b/>
          <w:bCs/>
          <w:sz w:val="24"/>
          <w:szCs w:val="24"/>
        </w:rPr>
      </w:pPr>
    </w:p>
    <w:p>
      <w:pPr>
        <w:pStyle w:val="2"/>
        <w:jc w:val="center"/>
        <w:rPr>
          <w:rFonts w:hint="eastAsia"/>
          <w:b/>
          <w:bCs/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</w:rPr>
        <w:t>金隅台泥（代县）环保科技有限公司</w:t>
      </w:r>
      <w:r>
        <w:rPr>
          <w:rFonts w:hint="eastAsia"/>
          <w:b/>
          <w:bCs/>
          <w:sz w:val="24"/>
          <w:szCs w:val="24"/>
          <w:lang w:val="en-US"/>
        </w:rPr>
        <w:t>机电工艺技改项目</w:t>
      </w:r>
    </w:p>
    <w:p/>
    <w:p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金隅台泥（代县）环保科技有限公司电工技改项目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申报单位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金隅台泥（代县）环保科技有限公司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三、申报单位简况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金隅台泥（代县）环保科技有限公司成立2021年9月。企业性质：国有企业。生产规模：有日产 4500t/d 一条熟料生产线。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四、项目概况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(一)项目内容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1、简述项目背景概况，项目具体选址，项目主要产品性能及市场作用等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项目建设在公司自有土地建设。</w:t>
      </w: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水泥散装仓改造项目</w:t>
      </w:r>
      <w:r>
        <w:rPr>
          <w:rFonts w:hint="eastAsia"/>
          <w:sz w:val="24"/>
          <w:szCs w:val="24"/>
        </w:rPr>
        <w:t>：公司根据现场的实际情况，联系设计院并组织人员多次讨论、论证决定从包装廊道西侧建设散装仓，原有的空压机房拆除移位，新建4个储量为350吨的散装仓，利用包装原有的提升机加高6.7米加设斜槽输送至散装仓，安装4套发货设备并对廊道整体密封满足环保需求。原有三台地磅，长16米，不能满足智能物流要求，计划每台购置两节壳体达到24米进行利旧。新增一台地磅、两台斜槽机及风机、两台收尘器及风机、四套一体式粉料散装机等。</w:t>
      </w:r>
    </w:p>
    <w:p>
      <w:pPr>
        <w:pStyle w:val="8"/>
        <w:tabs>
          <w:tab w:val="left" w:pos="540"/>
        </w:tabs>
        <w:spacing w:line="360" w:lineRule="auto"/>
        <w:ind w:right="-283" w:rightChars="-135" w:firstLine="0" w:firstLineChars="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煤磨系统低压二氧化碳灭火改造项目：</w:t>
      </w:r>
      <w:r>
        <w:rPr>
          <w:rFonts w:hint="eastAsia"/>
          <w:sz w:val="24"/>
          <w:szCs w:val="24"/>
        </w:rPr>
        <w:t>本次改造将原有高压二氧化碳气瓶间及气瓶拆除，将原有的28个42L高压气瓶改为一个3m³的低压储罐，设置位置将煤磨罗茨风机房间隔出两间独立的储存间和操作间， 其他要求按照《气体灭火系统设计规范》（ GB50370- 2005）进行配置。</w:t>
      </w:r>
    </w:p>
    <w:p>
      <w:pPr>
        <w:tabs>
          <w:tab w:val="left" w:pos="540"/>
          <w:tab w:val="left" w:pos="1320"/>
        </w:tabs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圆堆取料机节能增效改造项目：</w:t>
      </w:r>
    </w:p>
    <w:p>
      <w:pPr>
        <w:tabs>
          <w:tab w:val="left" w:pos="540"/>
          <w:tab w:val="left" w:pos="132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1.堆料机驱动装置、变幅液压系统改造方案</w:t>
      </w:r>
    </w:p>
    <w:p>
      <w:pPr>
        <w:tabs>
          <w:tab w:val="left" w:pos="540"/>
          <w:tab w:val="left" w:pos="132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⑴采用利旧原则，原堆料机输送带宽度不变，改进驱动装置及传动滚筒直径来提高驱动力及带速。</w:t>
      </w:r>
    </w:p>
    <w:p>
      <w:pPr>
        <w:tabs>
          <w:tab w:val="left" w:pos="540"/>
          <w:tab w:val="left" w:pos="132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⑵为根除堆料机在上仰时的滞料、塞料、压死皮带的状况，特设传动滚筒为非标准，加大滚筒的直径，增加皮带驱动力，确保皮带不打滑，不丢转，始终保持皮带同传动滚筒同步运行。</w:t>
      </w:r>
    </w:p>
    <w:p>
      <w:pPr>
        <w:tabs>
          <w:tab w:val="left" w:pos="540"/>
          <w:tab w:val="left" w:pos="132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⑶拆装原系统，更换新油缸和配套液压站，更换相关的安装支承件，确保悬臂上仰最高点的位置不变。新系统安装完成后调试，重新调整配重，修正。</w:t>
      </w:r>
    </w:p>
    <w:p>
      <w:pPr>
        <w:tabs>
          <w:tab w:val="left" w:pos="540"/>
          <w:tab w:val="left" w:pos="132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⑷电控系统跟随改造，包括堆料皮带机电机电缆、变幅液压系统油泵电机电缆、电控柜的断路器，热继，接触器等电器元件的更换。</w:t>
      </w:r>
    </w:p>
    <w:p>
      <w:pPr>
        <w:tabs>
          <w:tab w:val="left" w:pos="540"/>
          <w:tab w:val="left" w:pos="132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2.取料机尾轮液压涨紧装置改造方案</w:t>
      </w:r>
    </w:p>
    <w:p>
      <w:pPr>
        <w:tabs>
          <w:tab w:val="left" w:pos="540"/>
          <w:tab w:val="left" w:pos="132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⑴拆卸原配的涨紧装置；</w:t>
      </w:r>
    </w:p>
    <w:p>
      <w:pPr>
        <w:tabs>
          <w:tab w:val="left" w:pos="540"/>
          <w:tab w:val="left" w:pos="1320"/>
        </w:tabs>
        <w:spacing w:line="360" w:lineRule="auto"/>
        <w:rPr>
          <w:rFonts w:ascii="仿宋_GB2312" w:hAnsi="宋体" w:eastAsia="仿宋_GB2312"/>
          <w:sz w:val="24"/>
          <w:szCs w:val="24"/>
        </w:rPr>
      </w:pPr>
      <w:r>
        <w:rPr>
          <w:rFonts w:hint="eastAsia"/>
          <w:sz w:val="24"/>
          <w:szCs w:val="24"/>
        </w:rPr>
        <w:t>⑵安装2只液压油缸，并用连接高压软管与液压站相连，安装好蓄能器，电控柜。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氨水房迁移项目：</w:t>
      </w:r>
      <w:r>
        <w:rPr>
          <w:rFonts w:hint="eastAsia"/>
          <w:sz w:val="24"/>
          <w:szCs w:val="24"/>
        </w:rPr>
        <w:t>本次改造还是用SNCR（喷氨）工艺方案：系统主要由卸氨系统、罐区、加压泵及其控制系统、混合系统、分配与调节系统、喷雾系统等组成。SNCR系统烟气脱硝过程是由下面四个基本过程完成：接收和储存还原剂；在合适位置注入稀释后的还原剂；还原剂的计量输出、与水混合稀释；还原剂与烟气混合进行脱硝反应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大气环保治理项目（厂区下料口密闭项目）：</w:t>
      </w:r>
      <w:r>
        <w:rPr>
          <w:rFonts w:hint="eastAsia"/>
          <w:sz w:val="24"/>
          <w:szCs w:val="24"/>
        </w:rPr>
        <w:t>通过对破碎机下料口、熟料库包装通道、水泥包装通道、生料辅料下料口、存在冒尘现象的部位进行封闭、修缮、更换重新密封处理。建成后可保证物料输送、倒运全部在密封环境下进行，从源头杜绝扬尘、冒灰事件的发生。确保生产运行对环境的影响，满足国家及企业相关环保要求。</w:t>
      </w:r>
    </w:p>
    <w:p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项目建设内容及规模:</w:t>
      </w:r>
    </w:p>
    <w:p>
      <w:pPr>
        <w:spacing w:line="360" w:lineRule="auto"/>
        <w:ind w:right="26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水泥散装仓改造项目</w:t>
      </w:r>
      <w:r>
        <w:rPr>
          <w:rFonts w:hint="eastAsia"/>
          <w:sz w:val="24"/>
          <w:szCs w:val="24"/>
        </w:rPr>
        <w:t>属新建项目，项目计划采用新建四个水泥散装仓,替代现在库侧装车，本次改造3台地磅利旧。利用现有的提升机进行加高，更换电机等措施，重新规划包装、散装输送及其相关的设施。</w:t>
      </w:r>
    </w:p>
    <w:p>
      <w:pPr>
        <w:pStyle w:val="2"/>
        <w:tabs>
          <w:tab w:val="left" w:pos="5380"/>
        </w:tabs>
        <w:spacing w:before="54"/>
        <w:rPr>
          <w:rFonts w:ascii="Calibri" w:hAnsi="Calibri" w:cs="黑体"/>
          <w:sz w:val="24"/>
          <w:szCs w:val="24"/>
          <w:lang w:val="en-US" w:bidi="ar-SA"/>
        </w:rPr>
      </w:pPr>
      <w:r>
        <w:rPr>
          <w:rFonts w:hint="eastAsia" w:ascii="Calibri" w:hAnsi="Calibri" w:cs="黑体"/>
          <w:b/>
          <w:bCs/>
          <w:sz w:val="24"/>
          <w:szCs w:val="24"/>
          <w:lang w:val="en-US" w:bidi="ar-SA"/>
        </w:rPr>
        <w:t>煤磨系统低压二氧化碳灭火改造项目</w:t>
      </w:r>
      <w:r>
        <w:rPr>
          <w:rFonts w:hint="eastAsia" w:cs="黑体"/>
          <w:sz w:val="24"/>
          <w:szCs w:val="24"/>
          <w:lang w:val="en-US" w:bidi="ar-SA"/>
        </w:rPr>
        <w:t>属改建项目，</w:t>
      </w:r>
      <w:r>
        <w:rPr>
          <w:rFonts w:hint="eastAsia" w:ascii="Calibri" w:hAnsi="Calibri" w:cs="黑体"/>
          <w:sz w:val="24"/>
          <w:szCs w:val="24"/>
          <w:lang w:val="en-US" w:bidi="ar-SA"/>
        </w:rPr>
        <w:t>项目建设包含改建储瓶间、操作间、高压气瓶改造低压储罐、按照规范安装防爆电气、通风、联动报警及自动灭火装置。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圆堆取料机节能增效改造项目</w:t>
      </w:r>
      <w:r>
        <w:rPr>
          <w:rFonts w:hint="eastAsia"/>
          <w:sz w:val="24"/>
          <w:szCs w:val="24"/>
        </w:rPr>
        <w:t>属改建项目，堆料机更换头部滚筒及驱动装置，更换变幅液压系统;取料机尾轮张紧装置改为液压张紧。</w:t>
      </w: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氨水房迁移项目</w:t>
      </w:r>
      <w:r>
        <w:rPr>
          <w:rFonts w:hint="eastAsia"/>
          <w:sz w:val="24"/>
          <w:szCs w:val="24"/>
        </w:rPr>
        <w:t>属新建项目，项目建设包含氨水站房、氨水储罐、联结管道、防爆电气设备及自动化。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大气环保治理项目（厂区下料口密闭项目）</w:t>
      </w:r>
      <w:r>
        <w:rPr>
          <w:rFonts w:hint="eastAsia"/>
          <w:sz w:val="24"/>
          <w:szCs w:val="24"/>
        </w:rPr>
        <w:t>属新建项目，针对破碎机下料口、熟料库包装通道、水泥包装通道、生料辅料下料口等未密封的部位，进行彩钢板密封处理；确保物料输送、倒运全部在密封环境下进行。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（二）项目投资估算(万元) :</w:t>
      </w:r>
    </w:p>
    <w:p>
      <w:pPr>
        <w:pStyle w:val="2"/>
        <w:rPr>
          <w:rFonts w:ascii="Calibri" w:hAnsi="Calibri" w:cs="黑体"/>
          <w:sz w:val="24"/>
          <w:szCs w:val="24"/>
          <w:lang w:val="en-US" w:bidi="ar-SA"/>
        </w:rPr>
      </w:pPr>
      <w:r>
        <w:rPr>
          <w:rFonts w:hint="eastAsia" w:ascii="Calibri" w:hAnsi="Calibri" w:cs="黑体"/>
          <w:sz w:val="24"/>
          <w:szCs w:val="24"/>
          <w:lang w:val="en-US" w:bidi="ar-SA"/>
        </w:rPr>
        <w:t>项目投资2020.45万元。资金来源企业自筹。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（三）项目配套条件(场地、道路、水、电、气、通讯及其它配套设施)</w:t>
      </w:r>
    </w:p>
    <w:p>
      <w:pPr>
        <w:pStyle w:val="2"/>
        <w:rPr>
          <w:rFonts w:ascii="Calibri" w:hAnsi="Calibri" w:cs="黑体"/>
          <w:sz w:val="24"/>
          <w:szCs w:val="24"/>
          <w:lang w:val="en-US" w:bidi="ar-SA"/>
        </w:rPr>
      </w:pPr>
      <w:r>
        <w:rPr>
          <w:rFonts w:hint="eastAsia" w:ascii="Calibri" w:hAnsi="Calibri" w:cs="黑体"/>
          <w:sz w:val="24"/>
          <w:szCs w:val="24"/>
          <w:lang w:val="en-US" w:bidi="ar-SA"/>
        </w:rPr>
        <w:t>项目配套条件成熟。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(四)项目市场预测及效益分析</w:t>
      </w:r>
    </w:p>
    <w:p>
      <w:pPr>
        <w:pStyle w:val="2"/>
        <w:rPr>
          <w:rFonts w:ascii="Calibri" w:hAnsi="Calibri" w:cs="黑体"/>
          <w:sz w:val="24"/>
          <w:szCs w:val="24"/>
          <w:lang w:val="en-US" w:bidi="ar-SA"/>
        </w:rPr>
      </w:pPr>
      <w:r>
        <w:rPr>
          <w:rFonts w:hint="eastAsia" w:ascii="Calibri" w:hAnsi="Calibri" w:cs="黑体"/>
          <w:sz w:val="24"/>
          <w:szCs w:val="24"/>
          <w:lang w:val="en-US" w:bidi="ar-SA"/>
        </w:rPr>
        <w:t>项目建成后，改造设备运行条件，彻底解决了安全隐患，满足各项指标要求。提高工作效率。</w:t>
      </w:r>
    </w:p>
    <w:p>
      <w:pPr>
        <w:numPr>
          <w:ilvl w:val="0"/>
          <w:numId w:val="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项目进展情况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（一）政策:是否符合国家、产业政策及山西省产业规划;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(二)核准(备案) :是否申报，是否核准或备案: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(三)土地、环保:是否符合国家土地政策及及环保规定，是否经相关国土部门及环保部门初审认可:非农业项目选址具否经国土、环保、城建规划等部门初审同意。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(四)项目可行性研究报告及项目建议书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(五)项目前期进展情况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六、拟引资方式(合资、合作、独资及其它)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七、招商方向: (资金、 人才、技术)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八、申报单位联系方式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地址: 金隅台泥（代县）环保科技有限公司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联系人:王岗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24"/>
          <w:szCs w:val="24"/>
        </w:rPr>
        <w:t>传真:电子信箱:附加三张图片</w:t>
      </w:r>
      <w:r>
        <w:rPr>
          <w:rFonts w:ascii="Calibri" w:hAnsi="Calibri" w:eastAsia="宋体" w:cs="黑体"/>
          <w:kern w:val="2"/>
          <w:sz w:val="24"/>
          <w:szCs w:val="24"/>
          <w:lang w:val="en-US" w:eastAsia="zh-CN" w:bidi="ar-SA"/>
        </w:rPr>
        <w:pict>
          <v:shape id="_x0000_i1025" o:spt="75" type="#_x0000_t75" style="height:119.65pt;width:184.2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Calibri" w:hAnsi="Calibri" w:eastAsia="宋体" w:cs="黑体"/>
          <w:kern w:val="2"/>
          <w:sz w:val="24"/>
          <w:szCs w:val="24"/>
          <w:lang w:val="en-US" w:eastAsia="zh-CN" w:bidi="ar-SA"/>
        </w:rPr>
        <w:pict>
          <v:shape id="_x0000_i1026" o:spt="75" type="#_x0000_t75" style="height:119.75pt;width:200.6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Calibri" w:hAnsi="Calibri" w:eastAsia="宋体" w:cs="黑体"/>
          <w:kern w:val="2"/>
          <w:sz w:val="24"/>
          <w:szCs w:val="24"/>
          <w:lang w:val="en-US" w:eastAsia="zh-CN" w:bidi="ar-SA"/>
        </w:rPr>
        <w:pict>
          <v:shape id="_x0000_i1027" o:spt="75" type="#_x0000_t75" style="height:138.35pt;width:184.25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9"/>
    <w:multiLevelType w:val="singleLevel"/>
    <w:tmpl w:val="00000009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0000000C"/>
    <w:multiLevelType w:val="singleLevel"/>
    <w:tmpl w:val="0000000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djNWIxN2Q3MTYzMWI1YTA1ZDQyZDA5YmM4MjA2ZGUifQ=="/>
  </w:docVars>
  <w:rsids>
    <w:rsidRoot w:val="00000000"/>
    <w:rsid w:val="3BE062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rFonts w:ascii="宋体" w:hAnsi="宋体" w:cs="宋体"/>
      <w:sz w:val="24"/>
      <w:lang w:val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Body Text Indent"/>
    <w:basedOn w:val="1"/>
    <w:uiPriority w:val="0"/>
    <w:pPr>
      <w:spacing w:line="520" w:lineRule="exact"/>
      <w:ind w:firstLine="646"/>
    </w:pPr>
    <w:rPr>
      <w:rFonts w:ascii="仿宋_GB2312" w:hAnsi="Times New Roman" w:eastAsia="仿宋_GB2312" w:cs="Times New Roman"/>
      <w:sz w:val="32"/>
    </w:rPr>
  </w:style>
  <w:style w:type="paragraph" w:customStyle="1" w:styleId="7">
    <w:name w:val="Body Text First Indent"/>
    <w:basedOn w:val="2"/>
    <w:uiPriority w:val="0"/>
    <w:pPr>
      <w:spacing w:after="120"/>
      <w:ind w:firstLine="420" w:firstLineChars="100"/>
    </w:pPr>
    <w:rPr>
      <w:szCs w:val="21"/>
    </w:rPr>
  </w:style>
  <w:style w:type="paragraph" w:customStyle="1" w:styleId="8">
    <w:name w:val="List Paragraph"/>
    <w:basedOn w:val="1"/>
    <w:uiPriority w:val="0"/>
    <w:pPr>
      <w:ind w:firstLine="420" w:firstLineChars="200"/>
    </w:p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  <w:style w:type="paragraph" w:customStyle="1" w:styleId="10">
    <w:name w:val="明显引用1"/>
    <w:next w:val="1"/>
    <w:uiPriority w:val="0"/>
    <w:pPr>
      <w:wordWrap w:val="0"/>
      <w:spacing w:before="360" w:after="360"/>
      <w:ind w:left="950" w:right="950"/>
      <w:jc w:val="center"/>
    </w:pPr>
    <w:rPr>
      <w:rFonts w:ascii="Times New Roman" w:hAnsi="Times New Roman" w:eastAsia="宋体" w:cs="Times New Roman"/>
      <w:i/>
      <w:sz w:val="21"/>
      <w:szCs w:val="22"/>
      <w:lang w:val="en-US" w:eastAsia="zh-CN" w:bidi="ar-SA"/>
    </w:rPr>
  </w:style>
  <w:style w:type="character" w:customStyle="1" w:styleId="11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1893</Words>
  <Characters>1948</Characters>
  <Lines>14</Lines>
  <Paragraphs>4</Paragraphs>
  <TotalTime>0</TotalTime>
  <ScaleCrop>false</ScaleCrop>
  <LinksUpToDate>false</LinksUpToDate>
  <CharactersWithSpaces>1958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2020-06-03T19:36:00Z</dcterms:created>
  <dc:creator>Administrator</dc:creator>
  <cp:lastModifiedBy>11:大梦</cp:lastModifiedBy>
  <dcterms:modified xsi:type="dcterms:W3CDTF">2022-05-31T02:53:32Z</dcterms:modified>
  <dc:title>liangfeng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5F60B57D30D145ACA66AD8BDC1C70E89</vt:lpwstr>
  </property>
</Properties>
</file>