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代县精诚矿业有限责任公司采空区治理项目简介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一、项目名称</w:t>
      </w:r>
      <w:r>
        <w:rPr>
          <w:rFonts w:hint="eastAsia"/>
          <w:sz w:val="30"/>
          <w:szCs w:val="30"/>
          <w:lang w:val="en-US" w:eastAsia="zh-CN"/>
        </w:rPr>
        <w:t>:代县精诚矿业有限责任公司矿山全矿区采空区治理项目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二、申报单位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  <w:lang w:val="en-US" w:eastAsia="zh-CN"/>
        </w:rPr>
        <w:t>代县精诚矿业有限责任公司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三、申报单位简况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企业成立时间、企业性质、注册资本主营产品，目前生产规模等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代县精诚矿业有限责任公司是由原“精诚铁矿”和“程林铁矿”在2018年资源整合后合并成立的矿区，共分两个采区，整合后，矿区面积2.789km²，储量1960.08万吨，其中一采区面积1.243km²，储量572.58万吨，开采方式为地下开采，开采标高为2300—1500m，开拓方式为平硐开拓，采矿方法为分段崩落法，运输方式为卡车运矿，无轨脚轮车运人，通风方式为轴流式主扇抽出式通风，全矿有三个安全出口，主平硐、辅助平硐、回风竖井。生产规模60万吨/年，其中一采区规模30万吨/年。矿井相邻之间的关系为：北侧为山地，南侧为精诚矿业，两侧为洪剑铁矿，东侧为太钢峨口铁矿，企业为证件合法有效的安全生产矿井。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矿井安全生产情况：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在2010年至2014年聘请有资质的勘探设计单位进行了勘探设计，2015年进行了技术改造，提升矿井装备水平，用了一年半时间完成了技术改造工程，由运城民生评价公司出据了《安全设施验收评价报告》，2016年经省、市、县安监部门和专家组进行了现场验收，验收合格，顺利转入生产运行，并申领了《安全生产许可证》，成为合法的生产矿井。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2019年，精诚矿业有限责任公司一采区变更安全设施设计，改革采矿方法，由原来的分段空场法变更为无底柱崩落法。2019年12月17日通过省、市、县三级和专家组的现场验收，一次性通过了验收，同时办理了《安全生产许可证》延期续，得到了省、市、县和专家的一致好评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四、项目概况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(一)项目内容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1、 简述项目背景概况，项目具体选址，项目主要产品性能及</w:t>
      </w:r>
      <w:r>
        <w:rPr>
          <w:rFonts w:hint="eastAsia"/>
          <w:sz w:val="30"/>
          <w:szCs w:val="30"/>
          <w:lang w:eastAsia="zh-CN"/>
        </w:rPr>
        <w:t>市场作用等：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此次采空区项目地点为代县精诚矿业矿山全矿区范围内，项目作用：主要是为了消除矿山的不安全因素，为安全生产提供保障。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2、项目建设内容及规模: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不涉及新增厂房之类，只是在矿山原有矿洞内的采空区根据采空区治理方案进行治理，对不安全因素进行闭环。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(二)项目投资估算(万元) :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总投资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  <w:lang w:val="en-US" w:eastAsia="zh-CN"/>
        </w:rPr>
        <w:t>3691.43万</w:t>
      </w:r>
      <w:r>
        <w:rPr>
          <w:rFonts w:hint="eastAsia"/>
          <w:sz w:val="30"/>
          <w:szCs w:val="30"/>
        </w:rPr>
        <w:t>，其中项目企业</w:t>
      </w:r>
      <w:r>
        <w:rPr>
          <w:rFonts w:hint="eastAsia"/>
          <w:sz w:val="30"/>
          <w:szCs w:val="30"/>
          <w:lang w:val="en-US" w:eastAsia="zh-CN"/>
        </w:rPr>
        <w:t>资金由</w:t>
      </w:r>
      <w:r>
        <w:rPr>
          <w:rFonts w:hint="eastAsia"/>
          <w:sz w:val="30"/>
          <w:szCs w:val="30"/>
        </w:rPr>
        <w:t>自等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(三)项目配套条件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</w:rPr>
        <w:t>(场地、道路、水、电、气、通讯及其它配套设施)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(四)项目市场预测及效益分析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五、项目进展情况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（一）</w:t>
      </w:r>
      <w:r>
        <w:rPr>
          <w:rFonts w:hint="eastAsia"/>
          <w:sz w:val="30"/>
          <w:szCs w:val="30"/>
        </w:rPr>
        <w:t>政策:是否符合国家、产业政策及山西省产业规划;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符合。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(二)核准(备案) :是否申报，是否核准或备案: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已上报，已取得备案证。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土地、环保:是否符合国家土地政策及及环保规定，是否经相关国土部门及环保部门初审认可:非农业项目选址具否经国土、环保、城建规划等部门初审同意。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矿山原有土地符合相关部门要求，在存在采空区的矿洞内进行逐层爆破治理。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项目可行性研究报告及项目建议书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根据采空区治理方案进行采空区闭环治理。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(五)项目前期进展情况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六、拟引资方式(合资、合作、独资及其它)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企业独资。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招商方向: (资金、 人才、技术)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采矿、地质、机电、测量。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八、申报单位联系方式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地址:</w:t>
      </w:r>
      <w:r>
        <w:rPr>
          <w:rFonts w:hint="eastAsia"/>
          <w:sz w:val="30"/>
          <w:szCs w:val="30"/>
          <w:lang w:val="en-US" w:eastAsia="zh-CN"/>
        </w:rPr>
        <w:t>代县聂营镇初一沟石墙村。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联系人:</w:t>
      </w:r>
      <w:r>
        <w:rPr>
          <w:rFonts w:hint="eastAsia"/>
          <w:sz w:val="30"/>
          <w:szCs w:val="30"/>
          <w:lang w:val="en-US" w:eastAsia="zh-CN"/>
        </w:rPr>
        <w:t>高鹏</w:t>
      </w:r>
    </w:p>
    <w:p>
      <w:pPr>
        <w:rPr>
          <w:rFonts w:hint="default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</w:rPr>
        <w:t>电子信箱: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附加三张图片</w:t>
      </w:r>
      <w:r>
        <w:rPr>
          <w:rFonts w:hint="eastAsia"/>
          <w:sz w:val="30"/>
          <w:szCs w:val="30"/>
          <w:lang w:val="en-US" w:eastAsia="zh-CN"/>
        </w:rPr>
        <w:t>: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default" w:ascii="Calibri" w:hAnsi="Calibri" w:eastAsia="宋体" w:cs="黑体"/>
          <w:kern w:val="2"/>
          <w:sz w:val="30"/>
          <w:szCs w:val="30"/>
          <w:lang w:val="en-US" w:eastAsia="zh-CN" w:bidi="ar-SA"/>
        </w:rPr>
        <w:pict>
          <v:shape id="_x0000_i1025" o:spt="75" type="#_x0000_t75" style="height:294.9pt;width:414.4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default" w:ascii="Calibri" w:hAnsi="Calibri" w:eastAsia="宋体" w:cs="黑体"/>
          <w:kern w:val="2"/>
          <w:sz w:val="30"/>
          <w:szCs w:val="30"/>
          <w:lang w:val="en-US" w:eastAsia="zh-CN" w:bidi="ar-SA"/>
        </w:rPr>
        <w:pict>
          <v:shape id="_x0000_i1026" o:spt="75" type="#_x0000_t75" style="height:311.05pt;width:414.85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default" w:ascii="Calibri" w:hAnsi="Calibri" w:eastAsia="宋体" w:cs="黑体"/>
          <w:kern w:val="2"/>
          <w:sz w:val="30"/>
          <w:szCs w:val="30"/>
          <w:lang w:val="en-US" w:eastAsia="zh-CN" w:bidi="ar-SA"/>
        </w:rPr>
        <w:pict>
          <v:shape id="_x0000_i1027" o:spt="75" type="#_x0000_t75" style="height:324.1pt;width:414.4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default" w:ascii="Calibri" w:hAnsi="Calibri" w:eastAsia="宋体" w:cs="黑体"/>
          <w:kern w:val="2"/>
          <w:sz w:val="30"/>
          <w:szCs w:val="30"/>
          <w:lang w:val="en-US" w:eastAsia="zh-CN" w:bidi="ar-SA"/>
        </w:rPr>
        <w:pict>
          <v:shape id="_x0000_i1028" o:spt="75" type="#_x0000_t75" style="height:335.1pt;width:414.4pt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djNWIxN2Q3MTYzMWI1YTA1ZDQyZDA5YmM4MjA2ZGUifQ=="/>
  </w:docVars>
  <w:rsids>
    <w:rsidRoot w:val="00000000"/>
    <w:rsid w:val="03EF0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1213</Words>
  <Characters>1287</Characters>
  <Lines>0</Lines>
  <Paragraphs>0</Paragraphs>
  <TotalTime>0</TotalTime>
  <ScaleCrop>false</ScaleCrop>
  <LinksUpToDate>false</LinksUpToDate>
  <CharactersWithSpaces>1295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2020-06-03T19:36:00Z</dcterms:created>
  <dc:creator>Administrator</dc:creator>
  <cp:lastModifiedBy>11:大梦</cp:lastModifiedBy>
  <dcterms:modified xsi:type="dcterms:W3CDTF">2022-05-31T02:33:16Z</dcterms:modified>
  <dc:title>Weirdo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2BDC1127790640648F1BF607A21AC3B6</vt:lpwstr>
  </property>
</Properties>
</file>