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utoSpaceDN w:val="0"/>
        <w:adjustRightInd w:val="0"/>
        <w:snapToGrid w:val="0"/>
        <w:spacing w:after="240" w:line="576" w:lineRule="exact"/>
        <w:ind w:firstLine="42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智能印刷文化产业园项目</w:t>
      </w:r>
    </w:p>
    <w:p>
      <w:pPr>
        <w:widowControl w:val="0"/>
        <w:wordWrap/>
        <w:autoSpaceDN w:val="0"/>
        <w:adjustRightInd w:val="0"/>
        <w:snapToGrid w:val="0"/>
        <w:spacing w:after="240" w:line="576" w:lineRule="exact"/>
        <w:ind w:firstLine="42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utoSpaceDN w:val="0"/>
        <w:spacing w:after="240"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一、项目名称：</w:t>
      </w: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智能印刷文化产业园项目</w:t>
      </w:r>
    </w:p>
    <w:p>
      <w:pPr>
        <w:widowControl w:val="0"/>
        <w:wordWrap/>
        <w:autoSpaceDN w:val="0"/>
        <w:spacing w:after="240" w:line="576" w:lineRule="exact"/>
        <w:ind w:firstLine="509" w:firstLineChars="181"/>
        <w:jc w:val="left"/>
        <w:textAlignment w:val="auto"/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二、项目承办单位</w:t>
      </w: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：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代县生态文化旅游园区管委会</w:t>
      </w:r>
    </w:p>
    <w:p>
      <w:pPr>
        <w:widowControl w:val="0"/>
        <w:wordWrap/>
        <w:autoSpaceDN w:val="0"/>
        <w:spacing w:after="240" w:line="576" w:lineRule="exact"/>
        <w:ind w:firstLine="509" w:firstLineChars="181"/>
        <w:jc w:val="left"/>
        <w:textAlignment w:val="auto"/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三、项目承办单位简介</w:t>
      </w:r>
    </w:p>
    <w:p>
      <w:pPr>
        <w:widowControl w:val="0"/>
        <w:wordWrap/>
        <w:autoSpaceDN w:val="0"/>
        <w:spacing w:line="576" w:lineRule="exact"/>
        <w:ind w:firstLine="700" w:firstLineChars="25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代县生态文化旅游园区管委会为代县人民政府派出机构，正科级建制，主要职责：受县人民政府委托，负责全县规划区内产业开发、产业发展的组织协调、管理、服务等相关工作。</w:t>
      </w:r>
    </w:p>
    <w:p>
      <w:pPr>
        <w:autoSpaceDN w:val="0"/>
        <w:ind w:firstLine="703" w:firstLineChars="25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四、项目概况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（一）项目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内容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1.项目背景</w:t>
      </w:r>
    </w:p>
    <w:p>
      <w:pPr>
        <w:widowControl w:val="0"/>
        <w:wordWrap/>
        <w:autoSpaceDN w:val="0"/>
        <w:spacing w:after="240"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代县工业园区是山西经济转型与脱贫攻坚的大背景下，代县设立的专门用于引进工业企业在代县投资设厂，促进代县经济发展的园区。总规划面积19.35k㎡，占全县国土面积的1.14%。工业园区范围北至251省道和大西高铁，西至县界，东至上沙河村和西瓦窑头村，南至繁河高速。</w:t>
      </w:r>
    </w:p>
    <w:p>
      <w:pPr>
        <w:widowControl w:val="0"/>
        <w:wordWrap/>
        <w:autoSpaceDN w:val="0"/>
        <w:spacing w:after="240"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根据代县工业园区鼓励投资政策，对符合入区条件的投资项目园区提供自来水、天然气及电力和土地自然地貌平整“三通一平”标准配套服务。</w:t>
      </w:r>
    </w:p>
    <w:p>
      <w:pPr>
        <w:widowControl w:val="0"/>
        <w:wordWrap/>
        <w:autoSpaceDN w:val="0"/>
        <w:spacing w:after="240"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实施绿色印刷是我国印刷业走可持续发展道路的必然选择。绿色化、数字化、智能化是印刷业未来发展方向。要继续坚定不移的推动绿色印刷实施，为推动我国印刷业转型升级、推进全行业生态文明建设作出更大的贡献。</w:t>
      </w:r>
      <w:bookmarkStart w:id="0" w:name="_GoBack"/>
      <w:bookmarkEnd w:id="0"/>
    </w:p>
    <w:p>
      <w:pPr>
        <w:widowControl w:val="0"/>
        <w:wordWrap/>
        <w:autoSpaceDN w:val="0"/>
        <w:spacing w:after="240"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智能印刷文化产业园项目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拟选址在代县工业园区内。</w:t>
      </w:r>
    </w:p>
    <w:p>
      <w:pPr>
        <w:widowControl w:val="0"/>
        <w:wordWrap/>
        <w:autoSpaceDN w:val="0"/>
        <w:spacing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项目建设内容及规模</w:t>
      </w:r>
    </w:p>
    <w:p>
      <w:pPr>
        <w:widowControl w:val="0"/>
        <w:wordWrap/>
        <w:autoSpaceDN w:val="0"/>
        <w:spacing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智能印刷文化产业园项目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占地面积约300亩，</w:t>
      </w:r>
      <w:r>
        <w:rPr>
          <w:rFonts w:hint="eastAsia" w:ascii="仿宋" w:hAnsi="仿宋" w:eastAsia="仿宋" w:cs="仿宋"/>
          <w:b w:val="0"/>
          <w:bCs/>
          <w:color w:val="2B2B2B"/>
          <w:sz w:val="21"/>
          <w:szCs w:val="21"/>
        </w:rPr>
        <w:t>建成绿色环保的数字化智能印刷，可以给全国各级国家级的出版社提供服务，建设标准是全国最先进的智能化制造车间。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）项目投资估算（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亿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元）</w:t>
      </w:r>
    </w:p>
    <w:p>
      <w:pPr>
        <w:widowControl w:val="0"/>
        <w:wordWrap/>
        <w:autoSpaceDN w:val="0"/>
        <w:spacing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项目总投资5亿元，独资、合资、合作或其他方式均可。</w:t>
      </w:r>
    </w:p>
    <w:p>
      <w:pPr>
        <w:widowControl w:val="0"/>
        <w:numPr>
          <w:ilvl w:val="0"/>
          <w:numId w:val="1"/>
        </w:numPr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项目配套条件</w:t>
      </w:r>
    </w:p>
    <w:p>
      <w:pPr>
        <w:widowControl w:val="0"/>
        <w:wordWrap/>
        <w:autoSpaceDN w:val="0"/>
        <w:spacing w:after="240"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交通条件：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工业园区交通便利，西大运高速直连大同与运城，208国道和108国道在园区中心交汇。蒲铁路取过境直连大同与太原。交通十分便利，非常有利于企业开展相关运输业务。</w:t>
      </w:r>
    </w:p>
    <w:p>
      <w:pPr>
        <w:widowControl w:val="0"/>
        <w:wordWrap/>
        <w:autoSpaceDN w:val="0"/>
        <w:spacing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）项目市场预测及效益分析</w:t>
      </w:r>
    </w:p>
    <w:p>
      <w:pPr>
        <w:widowControl w:val="0"/>
        <w:wordWrap/>
        <w:autoSpaceDN w:val="0"/>
        <w:spacing w:line="576" w:lineRule="exact"/>
        <w:ind w:firstLine="700" w:firstLineChars="25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项目建成以后，将形成高档数字绿色智能印刷+互联网共享+现代物流配送平台，年产150万令高档数字绿色智能印刷印刷品，全面投产以后，预计三年以内能达到5亿以上产值，增加员工300名到500名，不断为推进全行业生态文明建设作出更大的贡献。</w:t>
      </w:r>
    </w:p>
    <w:p>
      <w:pPr>
        <w:widowControl w:val="0"/>
        <w:wordWrap/>
        <w:autoSpaceDN w:val="0"/>
        <w:spacing w:line="576" w:lineRule="exact"/>
        <w:ind w:firstLine="703" w:firstLineChars="25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五、项目进展情况</w:t>
      </w:r>
    </w:p>
    <w:p>
      <w:pPr>
        <w:widowControl w:val="0"/>
        <w:wordWrap/>
        <w:autoSpaceDN w:val="0"/>
        <w:spacing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(一)政策：</w:t>
      </w:r>
    </w:p>
    <w:p>
      <w:pPr>
        <w:widowControl w:val="0"/>
        <w:wordWrap/>
        <w:autoSpaceDN w:val="0"/>
        <w:spacing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2004年3月，温家宝总理在政府工作报告中，首次明确提出促进“中部地区崛起”。“十二五”时期，产业结构调整和消费结构升级，中央加强对中部地区的扶持力度，支持中部建立先进制造业基地，支持中部加快老工业基地改造等优惠政策相继出台。</w:t>
      </w:r>
    </w:p>
    <w:p>
      <w:pPr>
        <w:widowControl w:val="0"/>
        <w:wordWrap/>
        <w:autoSpaceDN w:val="0"/>
        <w:spacing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《山西省主体功能区规划》将我省国土空间细分为：重点开发区域、限制开发区域(重点生态功能区)、限制开发区域(农产品主产区)和禁止开发区域四类区域，并赋予其不同的发展功能定位。按照《山西省主体功能区规划》，代县作为属于省级限制开发的农产品主产区，主体功能是提供农产品，但也允许适度进行工业化城镇化开发，因此，工业园区符合国家、产业政策及山西产业规划。</w:t>
      </w:r>
    </w:p>
    <w:p>
      <w:pPr>
        <w:widowControl w:val="0"/>
        <w:wordWrap/>
        <w:autoSpaceDN w:val="0"/>
        <w:spacing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新能源汽车产业园项目符合产业规划。</w:t>
      </w:r>
    </w:p>
    <w:p>
      <w:pPr>
        <w:autoSpaceDN w:val="0"/>
        <w:spacing w:after="240" w:line="560" w:lineRule="exact"/>
        <w:ind w:firstLine="562" w:firstLineChars="200"/>
        <w:jc w:val="left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核准（备案）：未备案</w:t>
      </w:r>
    </w:p>
    <w:p>
      <w:pPr>
        <w:widowControl w:val="0"/>
        <w:wordWrap/>
        <w:autoSpaceDN w:val="0"/>
        <w:spacing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(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)土地、环保：符合国家土地政策及及环保规定，正在办理土地环保手续；</w:t>
      </w:r>
    </w:p>
    <w:p>
      <w:pPr>
        <w:widowControl w:val="0"/>
        <w:wordWrap/>
        <w:autoSpaceDN w:val="0"/>
        <w:spacing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(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)项目可行性研究报告及项目建议书：正在编制中。</w:t>
      </w:r>
    </w:p>
    <w:p>
      <w:pPr>
        <w:widowControl w:val="0"/>
        <w:wordWrap/>
        <w:autoSpaceDN w:val="0"/>
        <w:spacing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(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)项目前期进展情况：正在办理前期相关手续。</w:t>
      </w:r>
    </w:p>
    <w:p>
      <w:pPr>
        <w:widowControl w:val="0"/>
        <w:wordWrap/>
        <w:autoSpaceDN w:val="0"/>
        <w:spacing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六、拟引资方式(合资、合作、独资及其它)：项目总投资5亿元，独资、合资、合作或其他方式均可。</w:t>
      </w:r>
    </w:p>
    <w:p>
      <w:pPr>
        <w:widowControl w:val="0"/>
        <w:wordWrap/>
        <w:autoSpaceDN w:val="0"/>
        <w:spacing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七、招商方向：资金、人才、技术</w:t>
      </w:r>
    </w:p>
    <w:p>
      <w:pPr>
        <w:widowControl w:val="0"/>
        <w:wordWrap/>
        <w:autoSpaceDN w:val="0"/>
        <w:spacing w:line="576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八、联系人姓名及电话：</w:t>
      </w:r>
    </w:p>
    <w:p>
      <w:pPr>
        <w:widowControl w:val="0"/>
        <w:wordWrap/>
        <w:autoSpaceDN w:val="0"/>
        <w:spacing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联系人：薛晓龙</w:t>
      </w:r>
    </w:p>
    <w:p>
      <w:pPr>
        <w:widowControl w:val="0"/>
        <w:wordWrap/>
        <w:autoSpaceDN w:val="0"/>
        <w:spacing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>手机：13803445685</w:t>
      </w:r>
    </w:p>
    <w:p>
      <w:pPr>
        <w:widowControl w:val="0"/>
        <w:wordWrap/>
        <w:autoSpaceDN w:val="0"/>
        <w:spacing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</w:p>
    <w:p>
      <w:pPr>
        <w:widowControl w:val="0"/>
        <w:wordWrap/>
        <w:autoSpaceDN w:val="0"/>
        <w:spacing w:line="576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kern w:val="2"/>
          <w:sz w:val="21"/>
          <w:szCs w:val="21"/>
          <w:lang w:val="en-US" w:eastAsia="zh-CN" w:bidi="ar-SA"/>
        </w:rPr>
        <w:pict>
          <v:shape id="图片 9" o:spid="_x0000_s1027" type="#_x0000_t75" style="position:absolute;left:0;margin-left:18.05pt;margin-top:6.15pt;height:192.6pt;width:375.3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croptop="7813f" cropright="5020f" cropbottom="12221f"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" w:hAnsi="仿宋" w:eastAsia="仿宋" w:cs="仿宋"/>
          <w:b w:val="0"/>
          <w:bCs/>
          <w:kern w:val="2"/>
          <w:sz w:val="21"/>
          <w:szCs w:val="21"/>
          <w:lang w:val="en-US" w:eastAsia="zh-CN" w:bidi="ar-SA"/>
        </w:rPr>
        <w:pict>
          <v:shape id="图片 4" o:spid="_x0000_s1025" type="#_x0000_t75" style="position:absolute;left:0;margin-left:30.25pt;margin-top:213.7pt;height:186.05pt;width:363.1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wordWrap/>
        <w:spacing w:line="576" w:lineRule="exac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kern w:val="2"/>
          <w:sz w:val="32"/>
          <w:szCs w:val="32"/>
          <w:lang w:val="en-US" w:eastAsia="zh-CN" w:bidi="ar-SA"/>
        </w:rPr>
        <w:pict>
          <v:shape id="图片 13" o:spid="_x0000_s1026" type="#_x0000_t75" style="position:absolute;left:0;margin-left:30.25pt;margin-top:18.1pt;height:185.1pt;width:36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rFonts w:ascii="Calibri" w:hAnsi="Calibri" w:eastAsia="宋体" w:cs="Times New Roman"/>
      <w:sz w:val="18"/>
      <w:szCs w:val="18"/>
    </w:rPr>
  </w:style>
  <w:style w:type="character" w:customStyle="1" w:styleId="3">
    <w:name w:val="批注框文本 Char"/>
    <w:basedOn w:val="4"/>
    <w:link w:val="2"/>
    <w:semiHidden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basedOn w:val="4"/>
    <w:link w:val="5"/>
    <w:semiHidden/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4"/>
    <w:link w:val="7"/>
    <w:semiHidden/>
    <w:rPr>
      <w:rFonts w:ascii="Calibri" w:hAnsi="Calibri" w:eastAsia="宋体" w:cs="Times New Roman"/>
      <w:sz w:val="18"/>
      <w:szCs w:val="18"/>
    </w:rPr>
  </w:style>
  <w:style w:type="character" w:styleId="9">
    <w:name w:val="Hyperlink"/>
    <w:basedOn w:val="4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1137</Characters>
  <Lines>9</Lines>
  <Paragraphs>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2020-12-08T10:05:00Z</dcterms:created>
  <dc:creator>OC</dc:creator>
  <dcterms:modified xsi:type="dcterms:W3CDTF">2020-12-12T11:42:17Z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