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adjustRightInd w:val="0"/>
        <w:snapToGrid w:val="0"/>
        <w:spacing w:after="240"/>
        <w:ind w:firstLine="880" w:firstLineChars="200"/>
        <w:jc w:val="center"/>
        <w:rPr>
          <w:rFonts w:hint="eastAsia" w:ascii="仿宋" w:hAnsi="仿宋" w:eastAsia="仿宋" w:cs="仿宋"/>
          <w:sz w:val="32"/>
          <w:szCs w:val="32"/>
        </w:rPr>
      </w:pPr>
      <w:r>
        <w:rPr>
          <w:rFonts w:hint="eastAsia" w:ascii="仿宋" w:hAnsi="仿宋" w:eastAsia="仿宋" w:cs="仿宋"/>
          <w:sz w:val="32"/>
          <w:szCs w:val="32"/>
        </w:rPr>
        <w:t>高性能特高压及轨道交通装备配件</w:t>
      </w:r>
    </w:p>
    <w:p>
      <w:pPr>
        <w:autoSpaceDN w:val="0"/>
        <w:adjustRightInd w:val="0"/>
        <w:snapToGrid w:val="0"/>
        <w:spacing w:after="240"/>
        <w:ind w:firstLine="880" w:firstLineChars="200"/>
        <w:jc w:val="center"/>
        <w:rPr>
          <w:rFonts w:hint="eastAsia" w:ascii="仿宋" w:hAnsi="仿宋" w:eastAsia="仿宋" w:cs="仿宋"/>
          <w:sz w:val="32"/>
          <w:szCs w:val="32"/>
        </w:rPr>
      </w:pPr>
      <w:r>
        <w:rPr>
          <w:rFonts w:hint="eastAsia" w:ascii="仿宋" w:hAnsi="仿宋" w:eastAsia="仿宋" w:cs="仿宋"/>
          <w:sz w:val="32"/>
          <w:szCs w:val="32"/>
        </w:rPr>
        <w:t>智能制造项目</w:t>
      </w:r>
    </w:p>
    <w:p>
      <w:pPr>
        <w:autoSpaceDN w:val="0"/>
        <w:adjustRightInd w:val="0"/>
        <w:snapToGrid w:val="0"/>
        <w:spacing w:after="240"/>
        <w:ind w:firstLine="880" w:firstLineChars="200"/>
        <w:jc w:val="center"/>
        <w:rPr>
          <w:rFonts w:hint="eastAsia" w:ascii="仿宋" w:hAnsi="仿宋" w:eastAsia="仿宋" w:cs="仿宋"/>
          <w:sz w:val="32"/>
          <w:szCs w:val="32"/>
        </w:rPr>
      </w:pPr>
    </w:p>
    <w:p>
      <w:pPr>
        <w:widowControl w:val="0"/>
        <w:numPr>
          <w:ilvl w:val="0"/>
          <w:numId w:val="1"/>
        </w:numPr>
        <w:wordWrap/>
        <w:autoSpaceDN w:val="0"/>
        <w:adjustRightInd w:val="0"/>
        <w:snapToGrid w:val="0"/>
        <w:spacing w:after="240" w:line="578" w:lineRule="exact"/>
        <w:ind w:left="559" w:leftChars="266" w:firstLine="0" w:firstLineChars="0"/>
        <w:textAlignment w:val="auto"/>
        <w:rPr>
          <w:rFonts w:hint="eastAsia" w:ascii="仿宋" w:hAnsi="仿宋" w:eastAsia="仿宋" w:cs="仿宋"/>
          <w:b w:val="0"/>
          <w:bCs/>
          <w:sz w:val="21"/>
          <w:szCs w:val="21"/>
        </w:rPr>
      </w:pPr>
      <w:r>
        <w:rPr>
          <w:rFonts w:hint="eastAsia" w:ascii="仿宋" w:hAnsi="仿宋" w:eastAsia="仿宋" w:cs="仿宋"/>
          <w:b w:val="0"/>
          <w:bCs/>
          <w:color w:val="2B2B2B"/>
          <w:sz w:val="21"/>
          <w:szCs w:val="21"/>
        </w:rPr>
        <w:t>项目名称：</w:t>
      </w:r>
      <w:r>
        <w:rPr>
          <w:rFonts w:hint="eastAsia" w:ascii="仿宋" w:hAnsi="仿宋" w:eastAsia="仿宋" w:cs="仿宋"/>
          <w:b w:val="0"/>
          <w:bCs/>
          <w:sz w:val="21"/>
          <w:szCs w:val="21"/>
        </w:rPr>
        <w:t>高性能特高压及轨道交通装备配件智能制造项目</w:t>
      </w:r>
      <w:r>
        <w:rPr>
          <w:rFonts w:hint="eastAsia" w:ascii="仿宋" w:hAnsi="仿宋" w:eastAsia="仿宋" w:cs="仿宋"/>
          <w:b w:val="0"/>
          <w:bCs/>
          <w:color w:val="2B2B2B"/>
          <w:sz w:val="21"/>
          <w:szCs w:val="21"/>
        </w:rPr>
        <w:t>二、项目承办单位：</w:t>
      </w:r>
      <w:r>
        <w:rPr>
          <w:rFonts w:hint="eastAsia" w:ascii="仿宋" w:hAnsi="仿宋" w:eastAsia="仿宋" w:cs="仿宋"/>
          <w:b w:val="0"/>
          <w:bCs/>
          <w:sz w:val="21"/>
          <w:szCs w:val="21"/>
        </w:rPr>
        <w:t>代县生态文化旅游园区管委会</w:t>
      </w:r>
      <w:bookmarkStart w:id="0" w:name="_GoBack"/>
      <w:bookmarkEnd w:id="0"/>
    </w:p>
    <w:p>
      <w:pPr>
        <w:widowControl w:val="0"/>
        <w:numPr>
          <w:numId w:val="0"/>
        </w:numPr>
        <w:tabs>
          <w:tab w:val="left" w:pos="843"/>
        </w:tabs>
        <w:wordWrap/>
        <w:autoSpaceDN w:val="0"/>
        <w:adjustRightInd w:val="0"/>
        <w:snapToGrid w:val="0"/>
        <w:spacing w:after="240" w:line="578" w:lineRule="exact"/>
        <w:ind w:leftChars="266"/>
        <w:textAlignment w:val="auto"/>
        <w:rPr>
          <w:rFonts w:hint="eastAsia" w:ascii="仿宋" w:hAnsi="仿宋" w:eastAsia="仿宋" w:cs="仿宋"/>
          <w:b w:val="0"/>
          <w:bCs/>
          <w:color w:val="2B2B2B"/>
          <w:sz w:val="21"/>
          <w:szCs w:val="21"/>
        </w:rPr>
      </w:pPr>
      <w:r>
        <w:rPr>
          <w:rFonts w:hint="eastAsia" w:ascii="仿宋" w:hAnsi="仿宋" w:eastAsia="仿宋" w:cs="仿宋"/>
          <w:b w:val="0"/>
          <w:bCs/>
          <w:color w:val="2B2B2B"/>
          <w:sz w:val="21"/>
          <w:szCs w:val="21"/>
          <w:lang w:val="en-US" w:eastAsia="zh-CN"/>
        </w:rPr>
        <w:t>三、</w:t>
      </w:r>
      <w:r>
        <w:rPr>
          <w:rFonts w:hint="eastAsia" w:ascii="仿宋" w:hAnsi="仿宋" w:eastAsia="仿宋" w:cs="仿宋"/>
          <w:b w:val="0"/>
          <w:bCs/>
          <w:color w:val="2B2B2B"/>
          <w:sz w:val="21"/>
          <w:szCs w:val="21"/>
        </w:rPr>
        <w:t>项目承办单位简介</w:t>
      </w:r>
    </w:p>
    <w:p>
      <w:pPr>
        <w:widowControl w:val="0"/>
        <w:numPr>
          <w:numId w:val="0"/>
        </w:numPr>
        <w:wordWrap/>
        <w:autoSpaceDN w:val="0"/>
        <w:adjustRightInd w:val="0"/>
        <w:snapToGrid w:val="0"/>
        <w:spacing w:after="240" w:line="578" w:lineRule="exact"/>
        <w:ind w:leftChars="266" w:firstLine="560" w:firstLineChars="20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代县生态文化旅游园区管委会为代县人民政府派出机构，正科级建制，主要职责：受县人民政府委托，负责全县规划区内产业开发、产业发展的组织协调、管理、服务等相关工作。</w:t>
      </w:r>
    </w:p>
    <w:p>
      <w:pPr>
        <w:widowControl w:val="0"/>
        <w:wordWrap/>
        <w:autoSpaceDN w:val="0"/>
        <w:spacing w:line="578" w:lineRule="exact"/>
        <w:ind w:firstLine="703" w:firstLineChars="25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四、项目概况</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rPr>
        <w:t>（一）项目</w:t>
      </w:r>
      <w:r>
        <w:rPr>
          <w:rFonts w:hint="eastAsia" w:ascii="仿宋" w:hAnsi="仿宋" w:eastAsia="仿宋" w:cs="仿宋"/>
          <w:b w:val="0"/>
          <w:bCs/>
          <w:sz w:val="21"/>
          <w:szCs w:val="21"/>
          <w:lang w:val="en-US" w:eastAsia="zh-CN"/>
        </w:rPr>
        <w:t>内容</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1.项目背景:</w:t>
      </w:r>
    </w:p>
    <w:p>
      <w:pPr>
        <w:widowControl w:val="0"/>
        <w:wordWrap/>
        <w:autoSpaceDN w:val="0"/>
        <w:spacing w:after="240"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代县工业园区是山西经济转型与脱贫攻坚的大背景下，代县设立的专门用于引进工业企业在代县投资设厂，促进代县经济发展的园区。总规划面积19.35k㎡，占全县国土面积的1.14%。工业园区范围北至251省道和大西高铁，西至县界，东至上沙河村和西瓦窑头村，南至繁河高速。</w:t>
      </w:r>
    </w:p>
    <w:p>
      <w:pPr>
        <w:widowControl w:val="0"/>
        <w:wordWrap/>
        <w:autoSpaceDN w:val="0"/>
        <w:spacing w:after="240"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根据代县工业园区鼓励投资政策，对符合入区条件的投资项目园区提供自来水、天然气及电力和土地自然地貌平整“三通一平”标准配套服务。</w:t>
      </w:r>
    </w:p>
    <w:p>
      <w:pPr>
        <w:widowControl w:val="0"/>
        <w:wordWrap/>
        <w:autoSpaceDN w:val="0"/>
        <w:spacing w:after="240"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轨道交通装备是铁路和城市轨道交通运输所需各类装备的总称，主要涵盖了机车车辆、工程及养路机械、通信信号、牵引供电、安全保障、运营管理等各种机电装备。发展“技术先进、安全可靠、经济适用、节能环保”的轨道交通装备，是提升交通运输人流物流效率的保证，是实现资源节约和环境友好的有效途径，对国民经济和社会发展有较强的带动作用。轨道交通装备产业是《国务院关于加快培育和发展战略性新兴产业的决定》确定的高端装备制造业中的五个重点发展方向之一。</w:t>
      </w:r>
    </w:p>
    <w:p>
      <w:pPr>
        <w:widowControl w:val="0"/>
        <w:wordWrap/>
        <w:autoSpaceDN w:val="0"/>
        <w:spacing w:after="240"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高性能特高压及轨道交通装备配件智能制造项目拟选址在代县工业园区内。</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项目建设内容及规模</w:t>
      </w:r>
    </w:p>
    <w:p>
      <w:pPr>
        <w:widowControl w:val="0"/>
        <w:wordWrap/>
        <w:autoSpaceDN w:val="0"/>
        <w:adjustRightInd w:val="0"/>
        <w:snapToGrid w:val="0"/>
        <w:spacing w:after="240"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高性能特高压及轨道交通装备配件智能制造项目占地面积300亩，主要生产特高压工程配件、精密智能阀门、轨道交通、航空航天、国防科技高精密铸件，设计产能15万吨。主要装备为丹麦迪砂、美国英达、日本新东、德国爱立许等智能生产线;瑞士ABB和日本大限所集成的智能化加工生产线;利用AGV和RGV集成系统服务于智能化立体仓储系统。产品涉及消防、燃气、自来水、特高压用电等领域。</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二</w:t>
      </w:r>
      <w:r>
        <w:rPr>
          <w:rFonts w:hint="eastAsia" w:ascii="仿宋" w:hAnsi="仿宋" w:eastAsia="仿宋" w:cs="仿宋"/>
          <w:b w:val="0"/>
          <w:bCs/>
          <w:sz w:val="21"/>
          <w:szCs w:val="21"/>
        </w:rPr>
        <w:t>）项目投资估算（元）</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项目总投资25亿元，独资、合资、合作或其他方式均可。</w:t>
      </w:r>
    </w:p>
    <w:p>
      <w:pPr>
        <w:widowControl w:val="0"/>
        <w:numPr>
          <w:ilvl w:val="0"/>
          <w:numId w:val="2"/>
        </w:numPr>
        <w:wordWrap/>
        <w:autoSpaceDN w:val="0"/>
        <w:spacing w:line="578" w:lineRule="exact"/>
        <w:ind w:firstLine="562" w:firstLineChars="20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项目配套条件</w:t>
      </w:r>
    </w:p>
    <w:p>
      <w:pPr>
        <w:widowControl w:val="0"/>
        <w:wordWrap/>
        <w:autoSpaceDN w:val="0"/>
        <w:spacing w:after="240"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交通条件：</w:t>
      </w:r>
      <w:r>
        <w:rPr>
          <w:rFonts w:hint="eastAsia" w:ascii="仿宋" w:hAnsi="仿宋" w:eastAsia="仿宋" w:cs="仿宋"/>
          <w:b w:val="0"/>
          <w:bCs/>
          <w:sz w:val="21"/>
          <w:szCs w:val="21"/>
        </w:rPr>
        <w:t>工业园区交通便利，西大运高速直连大同与运城，208国道和108国道在园区中心交汇。蒲铁路取过境直连大同与太原。交通十分便利，非常有利于企业开展相关运输业务。</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四</w:t>
      </w:r>
      <w:r>
        <w:rPr>
          <w:rFonts w:hint="eastAsia" w:ascii="仿宋" w:hAnsi="仿宋" w:eastAsia="仿宋" w:cs="仿宋"/>
          <w:b w:val="0"/>
          <w:bCs/>
          <w:sz w:val="21"/>
          <w:szCs w:val="21"/>
        </w:rPr>
        <w:t>）项目市场预测及效益分析</w:t>
      </w:r>
    </w:p>
    <w:p>
      <w:pPr>
        <w:widowControl w:val="0"/>
        <w:wordWrap/>
        <w:autoSpaceDN w:val="0"/>
        <w:spacing w:line="578" w:lineRule="exact"/>
        <w:ind w:firstLine="700" w:firstLineChars="25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高性能特高压及轨道交通装备配件智能制造项目将按照国际国内最新的智能化设计理念，以机械化换人、自动化减人、智能化无人的发展方向，实现工业4.0现代化工厂。投产后年可实现产值30亿元，税收2亿元，预计解决就业岗位1500余个，为代县经济建设发展贡献重要力量。</w:t>
      </w:r>
    </w:p>
    <w:p>
      <w:pPr>
        <w:widowControl w:val="0"/>
        <w:wordWrap/>
        <w:autoSpaceDN w:val="0"/>
        <w:spacing w:line="578" w:lineRule="exact"/>
        <w:ind w:firstLine="703" w:firstLineChars="25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五、项目进展情况</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(一)政策：</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2004年3月，温家宝总理在政府工作报告中，首次明确提出促进“中部地区崛起”。“十二五”时期，产业结构调整和消费结构升级，中央加强对中部地区的扶持力度，支持中部建立先进制造业基地，支持中部加快老工业基地改造等优惠政策相继出台。</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山西省主体功能区规划》将我省国土空间细分为：重点开发区域、限制开发区域(重点生态功能区)、限制开发区域(农产品主产区)和禁止开发区域四类区域，并赋予其不同的发展功能定位。按照《山西省主体功能区规划》，代县作为属于省级限制开发的农产品主产区，主体功能是提供农产品，但也允许适度进行工业化城镇化开发，因此，工业园区符合国家、产业政策及山西产业规划。</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高性能特高压及轨道交通装备配件智能制造项目符合产业规划。</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eastAsia="zh-CN"/>
        </w:rPr>
        <w:t>（</w:t>
      </w:r>
      <w:r>
        <w:rPr>
          <w:rFonts w:hint="eastAsia" w:ascii="仿宋" w:hAnsi="仿宋" w:eastAsia="仿宋" w:cs="仿宋"/>
          <w:b w:val="0"/>
          <w:bCs/>
          <w:sz w:val="21"/>
          <w:szCs w:val="21"/>
          <w:lang w:val="en-US" w:eastAsia="zh-CN"/>
        </w:rPr>
        <w:t>二</w:t>
      </w:r>
      <w:r>
        <w:rPr>
          <w:rFonts w:hint="eastAsia" w:ascii="仿宋" w:hAnsi="仿宋" w:eastAsia="仿宋" w:cs="仿宋"/>
          <w:b w:val="0"/>
          <w:bCs/>
          <w:sz w:val="21"/>
          <w:szCs w:val="21"/>
          <w:lang w:eastAsia="zh-CN"/>
        </w:rPr>
        <w:t>）</w:t>
      </w:r>
      <w:r>
        <w:rPr>
          <w:rFonts w:hint="eastAsia" w:ascii="仿宋" w:hAnsi="仿宋" w:eastAsia="仿宋" w:cs="仿宋"/>
          <w:b w:val="0"/>
          <w:bCs/>
          <w:sz w:val="21"/>
          <w:szCs w:val="21"/>
          <w:lang w:val="en-US" w:eastAsia="zh-CN"/>
        </w:rPr>
        <w:t>核准（备案）：未备案；</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三</w:t>
      </w:r>
      <w:r>
        <w:rPr>
          <w:rFonts w:hint="eastAsia" w:ascii="仿宋" w:hAnsi="仿宋" w:eastAsia="仿宋" w:cs="仿宋"/>
          <w:b w:val="0"/>
          <w:bCs/>
          <w:sz w:val="21"/>
          <w:szCs w:val="21"/>
        </w:rPr>
        <w:t>)土地、环保：符合国家土地政策及及环保规定，正在办理土地环保手续；</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四</w:t>
      </w:r>
      <w:r>
        <w:rPr>
          <w:rFonts w:hint="eastAsia" w:ascii="仿宋" w:hAnsi="仿宋" w:eastAsia="仿宋" w:cs="仿宋"/>
          <w:b w:val="0"/>
          <w:bCs/>
          <w:sz w:val="21"/>
          <w:szCs w:val="21"/>
        </w:rPr>
        <w:t>)项目可行性研究报告及项目建议书：正在编制中。</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r>
        <w:rPr>
          <w:rFonts w:hint="eastAsia" w:ascii="仿宋" w:hAnsi="仿宋" w:eastAsia="仿宋" w:cs="仿宋"/>
          <w:b w:val="0"/>
          <w:bCs/>
          <w:sz w:val="21"/>
          <w:szCs w:val="21"/>
          <w:lang w:val="en-US" w:eastAsia="zh-CN"/>
        </w:rPr>
        <w:t>五</w:t>
      </w:r>
      <w:r>
        <w:rPr>
          <w:rFonts w:hint="eastAsia" w:ascii="仿宋" w:hAnsi="仿宋" w:eastAsia="仿宋" w:cs="仿宋"/>
          <w:b w:val="0"/>
          <w:bCs/>
          <w:sz w:val="21"/>
          <w:szCs w:val="21"/>
        </w:rPr>
        <w:t>)项目前期进展情况：正在办理前期相关手续。</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六、拟引资方式(合资、合作、独资及其它)：项目总投资25亿元，独资、合资、合作或其他方式均可。</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七、招商方向：资金、人才、技术</w:t>
      </w:r>
    </w:p>
    <w:p>
      <w:pPr>
        <w:widowControl w:val="0"/>
        <w:wordWrap/>
        <w:autoSpaceDN w:val="0"/>
        <w:spacing w:line="578" w:lineRule="exact"/>
        <w:ind w:firstLine="562"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八、联系人姓名及电话：</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联系人：薛晓龙</w:t>
      </w:r>
    </w:p>
    <w:p>
      <w:pPr>
        <w:widowControl w:val="0"/>
        <w:wordWrap/>
        <w:autoSpaceDN w:val="0"/>
        <w:spacing w:line="578" w:lineRule="exact"/>
        <w:ind w:firstLine="560" w:firstLineChars="200"/>
        <w:jc w:val="left"/>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手机：13803445685</w:t>
      </w:r>
    </w:p>
    <w:p>
      <w:pPr>
        <w:jc w:val="center"/>
        <w:rPr>
          <w:rFonts w:hint="eastAsia" w:ascii="仿宋" w:hAnsi="仿宋" w:eastAsia="仿宋" w:cs="仿宋"/>
          <w:b w:val="0"/>
          <w:bCs/>
          <w:sz w:val="21"/>
          <w:szCs w:val="21"/>
        </w:rPr>
      </w:pPr>
      <w:r>
        <w:rPr>
          <w:rFonts w:hint="eastAsia" w:ascii="仿宋" w:hAnsi="仿宋" w:eastAsia="仿宋" w:cs="仿宋"/>
          <w:b w:val="0"/>
          <w:bCs/>
          <w:kern w:val="2"/>
          <w:sz w:val="21"/>
          <w:szCs w:val="21"/>
          <w:lang w:val="en-US" w:eastAsia="zh-CN" w:bidi="ar-SA"/>
        </w:rPr>
        <w:pict>
          <v:shape id="图片 1" o:spid="_x0000_s1025" type="#_x0000_t75" style="position:absolute;left:0;margin-left:2.25pt;margin-top:21.6pt;height:219pt;width:415.3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p>
    <w:p>
      <w:pPr>
        <w:jc w:val="center"/>
        <w:rPr>
          <w:rFonts w:hint="eastAsia" w:ascii="仿宋" w:hAnsi="仿宋" w:eastAsia="仿宋" w:cs="仿宋"/>
          <w:b w:val="0"/>
          <w:bCs/>
          <w:sz w:val="21"/>
          <w:szCs w:val="21"/>
        </w:rPr>
      </w:pPr>
    </w:p>
    <w:p>
      <w:pPr>
        <w:autoSpaceDN w:val="0"/>
        <w:spacing w:after="240" w:line="560" w:lineRule="exact"/>
        <w:ind w:firstLine="420"/>
        <w:jc w:val="left"/>
        <w:rPr>
          <w:rFonts w:hint="eastAsia" w:ascii="仿宋" w:hAnsi="仿宋" w:eastAsia="仿宋" w:cs="仿宋"/>
          <w:b w:val="0"/>
          <w:bCs/>
          <w:sz w:val="21"/>
          <w:szCs w:val="21"/>
        </w:rPr>
      </w:pPr>
    </w:p>
    <w:p>
      <w:pPr>
        <w:autoSpaceDN w:val="0"/>
        <w:spacing w:after="240" w:line="560" w:lineRule="exact"/>
        <w:ind w:firstLine="420"/>
        <w:jc w:val="left"/>
        <w:rPr>
          <w:rFonts w:hint="eastAsia" w:ascii="仿宋" w:hAnsi="仿宋" w:eastAsia="仿宋" w:cs="仿宋"/>
          <w:b w:val="0"/>
          <w:bCs/>
          <w:sz w:val="21"/>
          <w:szCs w:val="21"/>
        </w:rPr>
      </w:pPr>
      <w:r>
        <w:rPr>
          <w:rFonts w:hint="eastAsia" w:ascii="仿宋" w:hAnsi="仿宋" w:eastAsia="仿宋" w:cs="仿宋"/>
          <w:b w:val="0"/>
          <w:bCs/>
          <w:kern w:val="2"/>
          <w:sz w:val="21"/>
          <w:szCs w:val="21"/>
          <w:lang w:val="en-US" w:eastAsia="zh-CN" w:bidi="ar-SA"/>
        </w:rPr>
        <w:pict>
          <v:shape id="图片 16" o:spid="_x0000_s1027" type="#_x0000_t75" style="position:absolute;left:0;margin-left:8.25pt;margin-top:297.75pt;height:293.25pt;width:407.25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hint="eastAsia" w:ascii="仿宋" w:hAnsi="仿宋" w:eastAsia="仿宋" w:cs="仿宋"/>
          <w:b w:val="0"/>
          <w:bCs/>
          <w:kern w:val="2"/>
          <w:sz w:val="21"/>
          <w:szCs w:val="21"/>
          <w:lang w:val="en-US" w:eastAsia="zh-CN" w:bidi="ar-SA"/>
        </w:rPr>
        <w:pict>
          <v:shape id="图片 10" o:spid="_x0000_s1026" type="#_x0000_t75" style="position:absolute;left:0;margin-left:8.25pt;margin-top:3pt;height:271.5pt;width:407.2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3"/>
      <w:numFmt w:val="chineseCounting"/>
      <w:suff w:val="nothing"/>
      <w:lvlText w:val="（%1）"/>
      <w:lvlJc w:val="left"/>
      <w:rPr>
        <w:rFonts w:hint="eastAsia"/>
      </w:rPr>
    </w:lvl>
  </w:abstractNum>
  <w:abstractNum w:abstractNumId="5">
    <w:nsid w:val="00000005"/>
    <w:multiLevelType w:val="singleLevel"/>
    <w:tmpl w:val="00000005"/>
    <w:lvl w:ilvl="0" w:tentative="1">
      <w:start w:val="1"/>
      <w:numFmt w:val="chineseCounting"/>
      <w:suff w:val="nothing"/>
      <w:lvlText w:val="%1、"/>
      <w:lvlJc w:val="left"/>
      <w:rPr>
        <w:rFonts w:hint="eastAsia"/>
      </w:rPr>
    </w:lvl>
  </w:abstractNum>
  <w:num w:numId="1">
    <w:abstractNumId w:val="5"/>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批注框文本"/>
    <w:basedOn w:val="1"/>
    <w:link w:val="3"/>
    <w:rPr>
      <w:rFonts w:ascii="Calibri" w:hAnsi="Calibri" w:eastAsia="宋体" w:cs="Times New Roman"/>
      <w:sz w:val="18"/>
      <w:szCs w:val="18"/>
    </w:rPr>
  </w:style>
  <w:style w:type="character" w:customStyle="1" w:styleId="3">
    <w:name w:val="批注框文本 Char"/>
    <w:basedOn w:val="4"/>
    <w:link w:val="2"/>
    <w:semiHidden/>
    <w:rPr>
      <w:rFonts w:ascii="Calibri" w:hAnsi="Calibri" w:eastAsia="宋体" w:cs="Times New Roman"/>
      <w:sz w:val="18"/>
      <w:szCs w:val="18"/>
    </w:rPr>
  </w:style>
  <w:style w:type="paragraph" w:styleId="5">
    <w:name w:val="footer"/>
    <w:basedOn w:val="1"/>
    <w:link w:val="6"/>
    <w:pPr>
      <w:tabs>
        <w:tab w:val="center" w:pos="4153"/>
        <w:tab w:val="right" w:pos="8306"/>
      </w:tabs>
      <w:snapToGrid w:val="0"/>
      <w:jc w:val="left"/>
    </w:pPr>
    <w:rPr>
      <w:rFonts w:ascii="Calibri" w:hAnsi="Calibri" w:eastAsia="宋体" w:cs="Times New Roman"/>
      <w:sz w:val="18"/>
      <w:szCs w:val="18"/>
    </w:rPr>
  </w:style>
  <w:style w:type="character" w:customStyle="1" w:styleId="6">
    <w:name w:val="页脚 Char"/>
    <w:basedOn w:val="4"/>
    <w:link w:val="5"/>
    <w:semiHidden/>
    <w:rPr>
      <w:rFonts w:ascii="Calibri" w:hAnsi="Calibri" w:eastAsia="宋体" w:cs="Times New Roman"/>
      <w:sz w:val="18"/>
      <w:szCs w:val="18"/>
    </w:rPr>
  </w:style>
  <w:style w:type="paragraph" w:styleId="7">
    <w:name w:val="header"/>
    <w:basedOn w:val="1"/>
    <w:link w:val="8"/>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8">
    <w:name w:val="页眉 Char"/>
    <w:basedOn w:val="4"/>
    <w:link w:val="7"/>
    <w:semiHidden/>
    <w:rPr>
      <w:rFonts w:ascii="Calibri" w:hAnsi="Calibri" w:eastAsia="宋体" w:cs="Times New Roman"/>
      <w:sz w:val="18"/>
      <w:szCs w:val="18"/>
    </w:rPr>
  </w:style>
  <w:style w:type="character" w:styleId="9">
    <w:name w:val="Hyperlink"/>
    <w:basedOn w:val="4"/>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241</Words>
  <Characters>1376</Characters>
  <Lines>11</Lines>
  <Paragraphs>3</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2020-12-08T10:05:00Z</dcterms:created>
  <dc:creator>OC</dc:creator>
  <dcterms:modified xsi:type="dcterms:W3CDTF">2020-12-12T11:36:43Z</dcterms:modified>
  <dc:title>时光不老，我们不散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