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双创惠民村村通大喇叭响亮工程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一、项目名称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：《双创惠民村村通大喇叭响亮工程》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二、申报单位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：代县政府办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三、申报单位简况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：代县政府办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四、项目概况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(一)项目内容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项目背景：双创惠民村村通大喇叭响亮工程是一项惠民利民的民生工程，加速推动了农村农业科技成果的转化和推广，利用“互联网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+云数据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”优势，形成线上（农资）线下（农产品）融合发展，对满足我县农民的信息需求，助力乡村振兴脱皮致富具有重大意义。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项目选址：各乡镇村委大队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产品功能及作用：采用“互联网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+大喇叭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”云广播技术，国内领先；实现无人看管、定时开关、自动广播、差异化服务；每天分早、中、晚三次广播，每次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30分钟；具有及时性、灌输性、灵活性、广众性等特点；公益服务（为党政机关提供信息服务平台，高效直达，公信力强，形成抓手。目前服务于农业、科技、司法、应急、扶贫等多个部门）、企业服务（平台针对涉农企业进行宣传服务，覆盖面广、灌输性强、对形成口碑、树立品牌作用显著。服务银行、保险、家电、汽车、农资等多个领域。）、电商服务（通过电商平台，为农民群众提供优质价廉的产品和服务，实行技、物、服相结合。同时解决农产品上行问题）、培训服务（通过线上大喇叭平台和线下现场宣传和培训，提高农民百姓科技文化知识水平。形成了很强的可信度和依懒性）。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项目建设内容及规模: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根据标准化要求，每套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IP广播设备包括1台音频终端，4支扬声器。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(二)项目投资估算(万元) :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3000万元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，其中项目企业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自筹</w:t>
      </w:r>
    </w:p>
    <w:p>
      <w:pPr>
        <w:numPr>
          <w:numId w:val="0"/>
        </w:numPr>
        <w:ind w:firstLine="301" w:firstLineChars="1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项目配套条件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安装站点，要具备电力、网络、可安装电线杆等条件，保障通响率。</w:t>
      </w:r>
    </w:p>
    <w:p>
      <w:pPr>
        <w:numPr>
          <w:numId w:val="0"/>
        </w:numPr>
        <w:ind w:leftChars="0" w:firstLine="301" w:firstLineChars="1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项目市场预测及效益分析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:</w:t>
      </w:r>
    </w:p>
    <w:p>
      <w:pPr>
        <w:numPr>
          <w:ilvl w:val="0"/>
          <w:numId w:val="1"/>
        </w:numPr>
        <w:ind w:leftChars="0"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政策补贴收益：政府购买服务，享受相关政府部门的财政补贴</w:t>
      </w:r>
    </w:p>
    <w:p>
      <w:pPr>
        <w:numPr>
          <w:ilvl w:val="0"/>
          <w:numId w:val="1"/>
        </w:numPr>
        <w:ind w:leftChars="0"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广告宣传收益：知名企业的宣传服务，包括品牌和产品宣传，获取宣传收益。</w:t>
      </w:r>
    </w:p>
    <w:p>
      <w:pPr>
        <w:numPr>
          <w:ilvl w:val="0"/>
          <w:numId w:val="1"/>
        </w:numPr>
        <w:ind w:leftChars="0"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产品销售收益：通过平台渠道，获得销售服务利益。</w:t>
      </w:r>
    </w:p>
    <w:p>
      <w:pPr>
        <w:numPr>
          <w:ilvl w:val="0"/>
          <w:numId w:val="1"/>
        </w:numPr>
        <w:ind w:leftChars="0"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资金项目收益：通过资本驱动，迅速在全国形成规模优势，公司上市，相关项目投资收益。</w:t>
      </w:r>
    </w:p>
    <w:p>
      <w:pPr>
        <w:numPr>
          <w:numId w:val="0"/>
        </w:numPr>
        <w:ind w:firstLine="904" w:firstLineChars="3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五、项目进展情况：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（一）政策：符合国家、产业政策及山西省产业规划；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（二）核准（备案）：项目正在申请立项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（三）土地、环保：符合政策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（四）项目可行性研究报告及项目建议书正在编制中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（五）项目前期进展情况：项目正在进展中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  <w:t>六、拟引资方式（合资、合作、独资及其它）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  <w:t>七、招商方向：（资金、人才、技术）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八、申报单位联系方式</w: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联系人: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赵俊杰</w: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手机: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13835059536</w: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276.4pt;width:39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552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7" o:spid="_x0000_s1027" type="#_x0000_t75" style="height:241.5pt;width:34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singleLevel"/>
    <w:tmpl w:val="00000007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dcterms:modified xsi:type="dcterms:W3CDTF">2020-12-11T16:00:00Z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