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仿宋" w:hAnsi="仿宋" w:eastAsia="仿宋" w:cs="仿宋"/>
          <w:b w:val="0"/>
          <w:bCs w:val="0"/>
          <w:sz w:val="32"/>
          <w:szCs w:val="32"/>
        </w:rPr>
      </w:pPr>
      <w:r>
        <w:rPr>
          <w:rFonts w:ascii="仿宋" w:hAnsi="仿宋" w:eastAsia="仿宋" w:cs="仿宋"/>
          <w:b/>
          <w:bCs/>
          <w:sz w:val="40"/>
          <w:szCs w:val="40"/>
        </w:rPr>
        <w:t xml:space="preserve"> </w:t>
      </w:r>
      <w:r>
        <w:rPr>
          <w:rFonts w:hint="eastAsia" w:ascii="仿宋" w:hAnsi="仿宋" w:eastAsia="仿宋" w:cs="仿宋"/>
          <w:b w:val="0"/>
          <w:bCs w:val="0"/>
          <w:sz w:val="32"/>
          <w:szCs w:val="32"/>
        </w:rPr>
        <w:t xml:space="preserve"> 2020年招商引资重点项目文字材料内容</w:t>
      </w:r>
    </w:p>
    <w:p>
      <w:pPr>
        <w:spacing w:line="540" w:lineRule="exact"/>
        <w:ind w:firstLine="602" w:firstLineChars="200"/>
        <w:rPr>
          <w:rFonts w:hint="eastAsia" w:ascii="仿宋" w:hAnsi="仿宋" w:eastAsia="仿宋" w:cs="仿宋"/>
          <w:b w:val="0"/>
          <w:bCs w:val="0"/>
          <w:sz w:val="21"/>
          <w:szCs w:val="21"/>
        </w:rPr>
      </w:pPr>
    </w:p>
    <w:p>
      <w:pPr>
        <w:spacing w:line="540" w:lineRule="exact"/>
        <w:ind w:firstLine="602" w:firstLineChars="200"/>
        <w:rPr>
          <w:rFonts w:hint="eastAsia" w:ascii="仿宋" w:hAnsi="仿宋" w:eastAsia="仿宋" w:cs="仿宋"/>
          <w:b w:val="0"/>
          <w:bCs w:val="0"/>
          <w:sz w:val="21"/>
          <w:szCs w:val="21"/>
        </w:rPr>
      </w:pPr>
      <w:bookmarkStart w:id="0" w:name="_GoBack"/>
      <w:bookmarkEnd w:id="0"/>
      <w:r>
        <w:rPr>
          <w:rFonts w:hint="eastAsia" w:ascii="仿宋" w:hAnsi="仿宋" w:eastAsia="仿宋" w:cs="仿宋"/>
          <w:b w:val="0"/>
          <w:bCs w:val="0"/>
          <w:sz w:val="21"/>
          <w:szCs w:val="21"/>
        </w:rPr>
        <w:t>一、项目名称：代县国家农村产业融合发展示范园建设项目</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二、招商单位基本情况</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（一）单位名称：代县农业农村局</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（二）单位地址：代县东大街14号</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三）单位简介：代县农业农村局是县人民政府工作部门，为正科级。中共代县县委农村工作领导小组办公室设在县农业农村局。县农业农村局贯彻落实党中央、省委、市委、县委关于“三农”工作的方针政策和决策部署，在履行职责过程中坚持和加强党对“三农”工作的集中统一领导。主要职责是：1.统筹研究和组织实施全县“三农”工作的发展战略、中长期规划、重大政策。2.组织协调推进全县乡村振兴战略实施，统筹推动发展农村社会事业、农村公共服务、农村文化、农村基础设施和乡村治理。3.组织实施深化全县农村经济体制改革和巩固完善农村基本经营制度的政策落实。4.指导乡村特色产业、农产品加工业、休闲农业、城郊农业以及新产业新业态发展工作。5.负责全县种植业、畜牧业、渔业、农垦、农业机械化等农业各产业的监督管理。6.负责农产品质量安全监督管理。组织开展全县农产品质量安全监测、追溯、风险评估。7.组织农业资源区划工作。8.负责有关农业生产资料和农业投入品的监督管理。9.推动农业科技体制改革和农业科技创新体系建设。10.指导农业农村人才工作。11.牵头开展全县农业对外合作工作。12.完成县委、县人民政府、县委农村工作领导小组交办的其他任务。</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三、申报方向</w:t>
      </w:r>
    </w:p>
    <w:p>
      <w:pPr>
        <w:spacing w:line="540" w:lineRule="exact"/>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依据代县农业资源禀赋和产业发展现状等基础条件，确定代县国家农村产业融合发展示范园融合类型为功能拓展型。</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四、项目市场前景</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一）行业概况：根据国内外的发展实践经验,农村产业融合发展即以农业为基础和载体,通过产业联动、产业集聚、技术渗透、体制创新等方式,将资本、技术以及资源要素进行跨界集约化配置,使农业生产、农产品加工和销售、餐饮、休闲及其他服务业有机地整合在一起,使得农村一二三产业之间紧密相连、协同发展,实现农业产业链延伸、产业功能扩展和农民收入增加。推进农村一二三产业融合发展,有利于农民分享产业融合中带来的红利,有利于吸引现代要素改造传统农业,实现农业现代化,有利于拓展农业功能培育农村新的增长点,有利于强化农业基础互联互通,促进美丽宜居示范村建设和乡村振兴战略的实施。</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二）市场需求分析：通过代县农村产业融合发展示范园创建,合理规划布局全县城乡产业,能够有效优化县域空间发展布局。示范园通过拓展农业多种功能等形式,逐步构建形成现代农业产业体系,在龙头企业和领军企业的带动下,创新产业融合投融资机制,拓宽资金渠道,培育多元化产业融合主体,激发产业融合活力,进而健全产业链利益联结机制,让农民更多分享产业增值收益,并将辐射全县及周边县,推动农村经济的进一步发展。</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五、项目基本情况</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一）建设背景：农村产业融合发展是推进农业供给侧结构性改革的重要抓手,是新形势下拓宽农民增收渠道、构建现代农业产业体系的重要举措,是加快转变农业发展方式、探索中国特色农业现代化道路的必然要求,是推动城乡协调发展、实现“乡村振兴”战略的必然选择。党中央、国务院高度重视农村产业融合发展,近三年的中央经济工作会议、中央农村工作会议及中央1号文件中均明确提出要求“支持建设一批农村产业融合发展示范园”。国务院办公厅提出对农村产业融合发展的指导意见（国办发〔2015〕93号）,农业部编制印发《全国农产品加工业与农村一二三产业融合发展规划（2016—2020年）》,国家发展和改革委员会等七部委联合印发《关于印发首批国家农村产业融合发展示范园名单的通知》(发改农经〔2019〕245号),在省级推荐、第三方评审的基础上,同意认定全国100个农村产业融合发展示范园。</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二）建设地点：以代县大南门及滹沱河沿岸农贸市场区域为依托,范围包括三个区域,一是核心区,范围为京原铁路以南,代滩路(东桥)以西,包括峪口乡胡家沟村、西旺,新高乡园子村、王街、韩街、新高,上馆镇西关共七村和滹沱河湿地公园,占地面积11.46平方公里；二是示范区,包括以枣林镇东留属村为中心，涵盖杨家祠和杨九郎墓在内“黄酒小镇”区，以上馆镇韩曲村为中心的中药材加工基地，以雁门关景区为中心，带动景区周边前腰铺、陈家庄、南村等村发展现代生态休闲旅游和乡村旅游；三是辐射区，即全面覆盖全县11个乡镇。</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三）建设内容及建设规模：创建内容主要包括产业融合发展示范园区内基础设施的建设以及产业融合项目的建设。基础设施建设包括园区内水、电、路、网等设施的完善及滹沱河河道治理、湿地公园的生态保护建设等;产业融合项目包括“黄酒小镇”建设项目;中药材种植、推广、加工项目;小杂粮(黍米)的种植加工项目;蔬菜瓜果种植及发展现代生态休闲农业项目等。</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（四）产品名称和类型：以黍米为原材料的黄酒养生产业、以中药材和小杂粮加工形成的绿色食品产业、以蔬菜瓜果采摘和农家乐形成的现代生态休闲农业。</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（五）项目总投资及资金来源：项目总投资4.21亿元，资金来源为招商引资。                                                                                                                                                                                                                                                                                                                                                                                                                                                                                                                                                                                                                                                                                                                                                                                                                                                                                                                                                                                                                                                                                                                                                                                                                                                                                                                                                                                                                                                                                                                                                                                                                                                                                                                                                                                                                                                                                                                                                                                                                                                                      </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六、项目优势分析</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（一）区位交通优势：首先,代县作为晋东北的中心,公路、高速公路、铁路等硬件基础设施和软件基础设施的提升,有助于代县融入“太原都市圈”和“京津冀一体化”的发展。</w:t>
      </w:r>
    </w:p>
    <w:p>
      <w:pPr>
        <w:spacing w:line="540" w:lineRule="exact"/>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其次,随着晋冀蒙协同发展工作的推进,作为京津冀经济发展的腹地和能源保障,代县在对接京津冀发展中的战略地位的明显提升,这为代县国家农村产业融合示范园的建设、未来的发展及发挥示范引领功能都提供了巨大的发展机遇。</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（二）资源优势：代县属于山西省的相对富水区,土地资源广阔、气候条件适宜、农业资源丰富、区位优势明显,旅游资源开发潜力巨大,适宜各类种、养、加、乡村旅游等单一产业和复合型产业发展。</w:t>
      </w:r>
    </w:p>
    <w:p>
      <w:pPr>
        <w:spacing w:line="540" w:lineRule="exact"/>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从农业资源及产业现状来看,代县黄酒、小杂粮和中药材是山西省的主产区之一,也是“京津冀”地区重要的供应基地,在产业扶贫带动下,黄酒、小杂粮和中药材产业已成为全县农业主导产业,发展前景广阔。</w:t>
      </w:r>
    </w:p>
    <w:p>
      <w:pPr>
        <w:spacing w:line="540" w:lineRule="exact"/>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从旅游资源及产业现状来看,代县历史文化底蕴深厚,是历史上著名的北塞政治要地、军事强藩、商埠重镇和文化名城,旅游资源丰富,并且有全省仅有的八个5A级景区之雁门光景区,已具备较好的旅游发展基础和产业集聚效应，与农业的融合势必为代县经济转型创建新的增长极。</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三）产业优势：农业资源丰富。全县农业基础条件优越,适宜小杂粮中药材、蔬菜瓜果种植,滹沱河平原区机械化种植程度高、适宜“名、稀、特、优”农产品种植。牧草资源丰富,畜牧业相当发达。代县是山西省重要的小杂粮种植加工基地、中药材种植基地县、晋北地区黄酒加工生产基地县,是典型的农业大县和农业强县。</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（四）环境优势：“十三五”以来,忻州市委市政府、代县委县政府按照国家供给侧结构性改革战略部署,紧紧围绕一二三产融合,将培育特色农业和乡村旅游,从政策、资金等方面不断加大力度。</w:t>
      </w:r>
    </w:p>
    <w:p>
      <w:pPr>
        <w:spacing w:line="540" w:lineRule="exact"/>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一方面,制定专项规划,促进山西四达酒类饮料有限责任公司、山西省代县代王酿酒有限责任公司、山西景坤大地农业科技有限公司等三个龙头企业项目的实施,着力打造以种养殖为基础,产业链不断延伸,一二三产业不断融合的产业结构;另一方面,结合脱贫攻坚项目的实施,通过项目资金的扶持和采取提升标准化水平、延伸产业链等措施,使县域农业主导产业小杂粮产业、中药材产业、蔬菜瓜果种植产业结构不断优化。</w:t>
      </w:r>
    </w:p>
    <w:p>
      <w:pPr>
        <w:spacing w:line="540" w:lineRule="exact"/>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此外,代县农村产业融合发展示范园创建项目核心区产业集聚已被写入《代县国民经济和社会发展的“十三五”规划》,将作为全县“十三五”后段时期农村经济建设的重大项目来实施。</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七、项目的配套要素</w:t>
      </w:r>
    </w:p>
    <w:p>
      <w:pPr>
        <w:spacing w:line="540" w:lineRule="exact"/>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一）项目周边交通情况：代县地处忻州市东北部,京原铁路横贯县境东西,过境里程32公里。京原公路,即108国道,大同公路,即208国道,穿越县境,并于阳明堡处交汇,特别是大运高速公路的贯通,横穿雁门关天险,大大缩短了代县与本省乃至全国各主要城市之间的距离。灵(丘)河(曲)高速穿境而过,全县11个乡镇全部通油路,212个行政村及各重要旅游景点公路全部硬化,是晋、冀、蒙重要的交通枢纽。交通条件便利,交通运输业发达,是晋东北物流集散地。</w:t>
      </w:r>
    </w:p>
    <w:p>
      <w:pPr>
        <w:spacing w:line="540" w:lineRule="exact"/>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（二）项目七通一平（道路、给水、电通、排水、热力、电信、燃气及土地平整）等配套设施建设情况。</w:t>
      </w:r>
    </w:p>
    <w:p>
      <w:pPr>
        <w:spacing w:line="578"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详见示范园基础设施建设内容及投资一览表</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4"/>
        <w:gridCol w:w="3428"/>
        <w:gridCol w:w="1045"/>
        <w:gridCol w:w="1499"/>
        <w:gridCol w:w="1656"/>
      </w:tblGrid>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序号</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项目名称</w:t>
            </w:r>
          </w:p>
        </w:tc>
        <w:tc>
          <w:tcPr>
            <w:tcW w:w="1045"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数量</w:t>
            </w: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投资/亿元</w:t>
            </w:r>
          </w:p>
        </w:tc>
        <w:tc>
          <w:tcPr>
            <w:tcW w:w="1656"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备注</w:t>
            </w: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给水工程</w:t>
            </w:r>
          </w:p>
        </w:tc>
        <w:tc>
          <w:tcPr>
            <w:tcW w:w="1045" w:type="dxa"/>
            <w:vAlign w:val="center"/>
          </w:tcPr>
          <w:p>
            <w:pPr>
              <w:spacing w:line="578" w:lineRule="exact"/>
              <w:jc w:val="center"/>
              <w:rPr>
                <w:rFonts w:hint="eastAsia" w:ascii="仿宋" w:hAnsi="仿宋" w:eastAsia="仿宋" w:cs="仿宋"/>
                <w:b w:val="0"/>
                <w:bCs w:val="0"/>
                <w:sz w:val="21"/>
                <w:szCs w:val="21"/>
              </w:rPr>
            </w:pPr>
          </w:p>
        </w:tc>
        <w:tc>
          <w:tcPr>
            <w:tcW w:w="1499" w:type="dxa"/>
            <w:vAlign w:val="center"/>
          </w:tcPr>
          <w:p>
            <w:pPr>
              <w:spacing w:line="578" w:lineRule="exact"/>
              <w:jc w:val="center"/>
              <w:rPr>
                <w:rFonts w:hint="eastAsia" w:ascii="仿宋" w:hAnsi="仿宋" w:eastAsia="仿宋" w:cs="仿宋"/>
                <w:b w:val="0"/>
                <w:bCs w:val="0"/>
                <w:sz w:val="21"/>
                <w:szCs w:val="21"/>
              </w:rPr>
            </w:pPr>
          </w:p>
        </w:tc>
        <w:tc>
          <w:tcPr>
            <w:tcW w:w="1656" w:type="dxa"/>
            <w:vAlign w:val="center"/>
          </w:tcPr>
          <w:p>
            <w:pPr>
              <w:spacing w:line="578" w:lineRule="exact"/>
              <w:jc w:val="center"/>
              <w:rPr>
                <w:rFonts w:hint="eastAsia" w:ascii="仿宋" w:hAnsi="仿宋" w:eastAsia="仿宋" w:cs="仿宋"/>
                <w:b w:val="0"/>
                <w:bCs w:val="0"/>
                <w:sz w:val="21"/>
                <w:szCs w:val="21"/>
              </w:rPr>
            </w:pP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1.1</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地下管网线路（给水）</w:t>
            </w:r>
          </w:p>
        </w:tc>
        <w:tc>
          <w:tcPr>
            <w:tcW w:w="1045"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30km</w:t>
            </w: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0.24</w:t>
            </w:r>
          </w:p>
        </w:tc>
        <w:tc>
          <w:tcPr>
            <w:tcW w:w="1656"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800元/米</w:t>
            </w: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1.2</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新建水厂</w:t>
            </w:r>
          </w:p>
        </w:tc>
        <w:tc>
          <w:tcPr>
            <w:tcW w:w="1045" w:type="dxa"/>
            <w:vAlign w:val="center"/>
          </w:tcPr>
          <w:p>
            <w:pPr>
              <w:spacing w:line="578" w:lineRule="exact"/>
              <w:jc w:val="center"/>
              <w:rPr>
                <w:rFonts w:hint="eastAsia" w:ascii="仿宋" w:hAnsi="仿宋" w:eastAsia="仿宋" w:cs="仿宋"/>
                <w:b w:val="0"/>
                <w:bCs w:val="0"/>
                <w:sz w:val="21"/>
                <w:szCs w:val="21"/>
              </w:rPr>
            </w:pP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0.4</w:t>
            </w:r>
          </w:p>
        </w:tc>
        <w:tc>
          <w:tcPr>
            <w:tcW w:w="1656" w:type="dxa"/>
            <w:vAlign w:val="center"/>
          </w:tcPr>
          <w:p>
            <w:pPr>
              <w:spacing w:line="578" w:lineRule="exact"/>
              <w:jc w:val="center"/>
              <w:rPr>
                <w:rFonts w:hint="eastAsia" w:ascii="仿宋" w:hAnsi="仿宋" w:eastAsia="仿宋" w:cs="仿宋"/>
                <w:b w:val="0"/>
                <w:bCs w:val="0"/>
                <w:sz w:val="21"/>
                <w:szCs w:val="21"/>
              </w:rPr>
            </w:pP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排水工程</w:t>
            </w:r>
          </w:p>
        </w:tc>
        <w:tc>
          <w:tcPr>
            <w:tcW w:w="1045" w:type="dxa"/>
            <w:vAlign w:val="center"/>
          </w:tcPr>
          <w:p>
            <w:pPr>
              <w:spacing w:line="578" w:lineRule="exact"/>
              <w:jc w:val="center"/>
              <w:rPr>
                <w:rFonts w:hint="eastAsia" w:ascii="仿宋" w:hAnsi="仿宋" w:eastAsia="仿宋" w:cs="仿宋"/>
                <w:b w:val="0"/>
                <w:bCs w:val="0"/>
                <w:sz w:val="21"/>
                <w:szCs w:val="21"/>
              </w:rPr>
            </w:pPr>
          </w:p>
        </w:tc>
        <w:tc>
          <w:tcPr>
            <w:tcW w:w="1499" w:type="dxa"/>
            <w:vAlign w:val="center"/>
          </w:tcPr>
          <w:p>
            <w:pPr>
              <w:spacing w:line="578" w:lineRule="exact"/>
              <w:jc w:val="center"/>
              <w:rPr>
                <w:rFonts w:hint="eastAsia" w:ascii="仿宋" w:hAnsi="仿宋" w:eastAsia="仿宋" w:cs="仿宋"/>
                <w:b w:val="0"/>
                <w:bCs w:val="0"/>
                <w:sz w:val="21"/>
                <w:szCs w:val="21"/>
              </w:rPr>
            </w:pPr>
          </w:p>
        </w:tc>
        <w:tc>
          <w:tcPr>
            <w:tcW w:w="1656" w:type="dxa"/>
            <w:vAlign w:val="center"/>
          </w:tcPr>
          <w:p>
            <w:pPr>
              <w:spacing w:line="578" w:lineRule="exact"/>
              <w:jc w:val="center"/>
              <w:rPr>
                <w:rFonts w:hint="eastAsia" w:ascii="仿宋" w:hAnsi="仿宋" w:eastAsia="仿宋" w:cs="仿宋"/>
                <w:b w:val="0"/>
                <w:bCs w:val="0"/>
                <w:sz w:val="21"/>
                <w:szCs w:val="21"/>
              </w:rPr>
            </w:pP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2.1</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新建污水厂</w:t>
            </w:r>
          </w:p>
        </w:tc>
        <w:tc>
          <w:tcPr>
            <w:tcW w:w="1045" w:type="dxa"/>
            <w:vAlign w:val="center"/>
          </w:tcPr>
          <w:p>
            <w:pPr>
              <w:spacing w:line="578" w:lineRule="exact"/>
              <w:jc w:val="center"/>
              <w:rPr>
                <w:rFonts w:hint="eastAsia" w:ascii="仿宋" w:hAnsi="仿宋" w:eastAsia="仿宋" w:cs="仿宋"/>
                <w:b w:val="0"/>
                <w:bCs w:val="0"/>
                <w:sz w:val="21"/>
                <w:szCs w:val="21"/>
              </w:rPr>
            </w:pP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0.5</w:t>
            </w:r>
          </w:p>
        </w:tc>
        <w:tc>
          <w:tcPr>
            <w:tcW w:w="1656" w:type="dxa"/>
            <w:vAlign w:val="center"/>
          </w:tcPr>
          <w:p>
            <w:pPr>
              <w:spacing w:line="578" w:lineRule="exact"/>
              <w:jc w:val="center"/>
              <w:rPr>
                <w:rFonts w:hint="eastAsia" w:ascii="仿宋" w:hAnsi="仿宋" w:eastAsia="仿宋" w:cs="仿宋"/>
                <w:b w:val="0"/>
                <w:bCs w:val="0"/>
                <w:sz w:val="21"/>
                <w:szCs w:val="21"/>
              </w:rPr>
            </w:pP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2.2</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地下管网线路（排污水管道）</w:t>
            </w:r>
          </w:p>
        </w:tc>
        <w:tc>
          <w:tcPr>
            <w:tcW w:w="1045"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30km</w:t>
            </w: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0.33</w:t>
            </w:r>
          </w:p>
        </w:tc>
        <w:tc>
          <w:tcPr>
            <w:tcW w:w="1656"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1100元/米</w:t>
            </w: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2.3</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地下管网线路（排雨水管道）</w:t>
            </w:r>
          </w:p>
        </w:tc>
        <w:tc>
          <w:tcPr>
            <w:tcW w:w="1045"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30km</w:t>
            </w: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0.27</w:t>
            </w:r>
          </w:p>
        </w:tc>
        <w:tc>
          <w:tcPr>
            <w:tcW w:w="1656"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900元/米</w:t>
            </w: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供热管网工程</w:t>
            </w:r>
          </w:p>
        </w:tc>
        <w:tc>
          <w:tcPr>
            <w:tcW w:w="1045" w:type="dxa"/>
            <w:vAlign w:val="center"/>
          </w:tcPr>
          <w:p>
            <w:pPr>
              <w:spacing w:line="578" w:lineRule="exact"/>
              <w:jc w:val="center"/>
              <w:rPr>
                <w:rFonts w:hint="eastAsia" w:ascii="仿宋" w:hAnsi="仿宋" w:eastAsia="仿宋" w:cs="仿宋"/>
                <w:b w:val="0"/>
                <w:bCs w:val="0"/>
                <w:sz w:val="21"/>
                <w:szCs w:val="21"/>
              </w:rPr>
            </w:pPr>
          </w:p>
        </w:tc>
        <w:tc>
          <w:tcPr>
            <w:tcW w:w="1499" w:type="dxa"/>
            <w:vAlign w:val="center"/>
          </w:tcPr>
          <w:p>
            <w:pPr>
              <w:spacing w:line="578" w:lineRule="exact"/>
              <w:jc w:val="center"/>
              <w:rPr>
                <w:rFonts w:hint="eastAsia" w:ascii="仿宋" w:hAnsi="仿宋" w:eastAsia="仿宋" w:cs="仿宋"/>
                <w:b w:val="0"/>
                <w:bCs w:val="0"/>
                <w:sz w:val="21"/>
                <w:szCs w:val="21"/>
              </w:rPr>
            </w:pPr>
          </w:p>
        </w:tc>
        <w:tc>
          <w:tcPr>
            <w:tcW w:w="1656" w:type="dxa"/>
            <w:vAlign w:val="center"/>
          </w:tcPr>
          <w:p>
            <w:pPr>
              <w:spacing w:line="578" w:lineRule="exact"/>
              <w:jc w:val="center"/>
              <w:rPr>
                <w:rFonts w:hint="eastAsia" w:ascii="仿宋" w:hAnsi="仿宋" w:eastAsia="仿宋" w:cs="仿宋"/>
                <w:b w:val="0"/>
                <w:bCs w:val="0"/>
                <w:sz w:val="21"/>
                <w:szCs w:val="21"/>
              </w:rPr>
            </w:pP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3.1</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一次管网</w:t>
            </w:r>
          </w:p>
        </w:tc>
        <w:tc>
          <w:tcPr>
            <w:tcW w:w="1045"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20km</w:t>
            </w: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0.4</w:t>
            </w:r>
          </w:p>
        </w:tc>
        <w:tc>
          <w:tcPr>
            <w:tcW w:w="1656"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2000元/米</w:t>
            </w: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3.2</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二次管网</w:t>
            </w:r>
          </w:p>
        </w:tc>
        <w:tc>
          <w:tcPr>
            <w:tcW w:w="1045"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30km</w:t>
            </w: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0.24</w:t>
            </w:r>
          </w:p>
        </w:tc>
        <w:tc>
          <w:tcPr>
            <w:tcW w:w="1656"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800元/米</w:t>
            </w: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3.3</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热源厂及换热站建设</w:t>
            </w:r>
          </w:p>
        </w:tc>
        <w:tc>
          <w:tcPr>
            <w:tcW w:w="1045" w:type="dxa"/>
            <w:vAlign w:val="center"/>
          </w:tcPr>
          <w:p>
            <w:pPr>
              <w:spacing w:line="578" w:lineRule="exact"/>
              <w:jc w:val="center"/>
              <w:rPr>
                <w:rFonts w:hint="eastAsia" w:ascii="仿宋" w:hAnsi="仿宋" w:eastAsia="仿宋" w:cs="仿宋"/>
                <w:b w:val="0"/>
                <w:bCs w:val="0"/>
                <w:sz w:val="21"/>
                <w:szCs w:val="21"/>
              </w:rPr>
            </w:pP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0.2</w:t>
            </w:r>
          </w:p>
        </w:tc>
        <w:tc>
          <w:tcPr>
            <w:tcW w:w="1656" w:type="dxa"/>
            <w:vAlign w:val="center"/>
          </w:tcPr>
          <w:p>
            <w:pPr>
              <w:spacing w:line="578" w:lineRule="exact"/>
              <w:jc w:val="center"/>
              <w:rPr>
                <w:rFonts w:hint="eastAsia" w:ascii="仿宋" w:hAnsi="仿宋" w:eastAsia="仿宋" w:cs="仿宋"/>
                <w:b w:val="0"/>
                <w:bCs w:val="0"/>
                <w:sz w:val="21"/>
                <w:szCs w:val="21"/>
              </w:rPr>
            </w:pP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4</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弱电工程（管道）</w:t>
            </w:r>
          </w:p>
        </w:tc>
        <w:tc>
          <w:tcPr>
            <w:tcW w:w="1045"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30km</w:t>
            </w: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0.18</w:t>
            </w:r>
          </w:p>
        </w:tc>
        <w:tc>
          <w:tcPr>
            <w:tcW w:w="1656"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600元/米</w:t>
            </w: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5</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垃圾中转站</w:t>
            </w:r>
          </w:p>
        </w:tc>
        <w:tc>
          <w:tcPr>
            <w:tcW w:w="1045" w:type="dxa"/>
            <w:vAlign w:val="center"/>
          </w:tcPr>
          <w:p>
            <w:pPr>
              <w:spacing w:line="578" w:lineRule="exact"/>
              <w:jc w:val="center"/>
              <w:rPr>
                <w:rFonts w:hint="eastAsia" w:ascii="仿宋" w:hAnsi="仿宋" w:eastAsia="仿宋" w:cs="仿宋"/>
                <w:b w:val="0"/>
                <w:bCs w:val="0"/>
                <w:sz w:val="21"/>
                <w:szCs w:val="21"/>
              </w:rPr>
            </w:pP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0.05</w:t>
            </w:r>
          </w:p>
        </w:tc>
        <w:tc>
          <w:tcPr>
            <w:tcW w:w="1656" w:type="dxa"/>
            <w:vAlign w:val="center"/>
          </w:tcPr>
          <w:p>
            <w:pPr>
              <w:spacing w:line="578" w:lineRule="exact"/>
              <w:jc w:val="center"/>
              <w:rPr>
                <w:rFonts w:hint="eastAsia" w:ascii="仿宋" w:hAnsi="仿宋" w:eastAsia="仿宋" w:cs="仿宋"/>
                <w:b w:val="0"/>
                <w:bCs w:val="0"/>
                <w:sz w:val="21"/>
                <w:szCs w:val="21"/>
              </w:rPr>
            </w:pPr>
          </w:p>
        </w:tc>
      </w:tr>
      <w:tr>
        <w:trPr>
          <w:trHeight w:val="23" w:hRule="atLeast"/>
        </w:trPr>
        <w:tc>
          <w:tcPr>
            <w:tcW w:w="894"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6</w:t>
            </w:r>
          </w:p>
        </w:tc>
        <w:tc>
          <w:tcPr>
            <w:tcW w:w="3428"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滹沱河干流治理工程</w:t>
            </w:r>
          </w:p>
        </w:tc>
        <w:tc>
          <w:tcPr>
            <w:tcW w:w="1045" w:type="dxa"/>
            <w:vAlign w:val="center"/>
          </w:tcPr>
          <w:p>
            <w:pPr>
              <w:spacing w:line="578" w:lineRule="exact"/>
              <w:jc w:val="center"/>
              <w:rPr>
                <w:rFonts w:hint="eastAsia" w:ascii="仿宋" w:hAnsi="仿宋" w:eastAsia="仿宋" w:cs="仿宋"/>
                <w:b w:val="0"/>
                <w:bCs w:val="0"/>
                <w:sz w:val="21"/>
                <w:szCs w:val="21"/>
              </w:rPr>
            </w:pP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1.4</w:t>
            </w:r>
          </w:p>
        </w:tc>
        <w:tc>
          <w:tcPr>
            <w:tcW w:w="1656" w:type="dxa"/>
            <w:vAlign w:val="center"/>
          </w:tcPr>
          <w:p>
            <w:pPr>
              <w:spacing w:line="31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治理内容包括河道疏浚40.41km，新建堤防38.79km，加固堤防42.03km。</w:t>
            </w:r>
          </w:p>
        </w:tc>
      </w:tr>
      <w:tr>
        <w:trPr>
          <w:trHeight w:val="23" w:hRule="atLeast"/>
        </w:trPr>
        <w:tc>
          <w:tcPr>
            <w:tcW w:w="4322" w:type="dxa"/>
            <w:gridSpan w:val="2"/>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合计</w:t>
            </w:r>
          </w:p>
        </w:tc>
        <w:tc>
          <w:tcPr>
            <w:tcW w:w="1045" w:type="dxa"/>
            <w:vAlign w:val="center"/>
          </w:tcPr>
          <w:p>
            <w:pPr>
              <w:spacing w:line="578" w:lineRule="exact"/>
              <w:jc w:val="center"/>
              <w:rPr>
                <w:rFonts w:hint="eastAsia" w:ascii="仿宋" w:hAnsi="仿宋" w:eastAsia="仿宋" w:cs="仿宋"/>
                <w:b w:val="0"/>
                <w:bCs w:val="0"/>
                <w:sz w:val="21"/>
                <w:szCs w:val="21"/>
              </w:rPr>
            </w:pPr>
          </w:p>
        </w:tc>
        <w:tc>
          <w:tcPr>
            <w:tcW w:w="1499" w:type="dxa"/>
            <w:vAlign w:val="center"/>
          </w:tcPr>
          <w:p>
            <w:pPr>
              <w:spacing w:line="578"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4.21</w:t>
            </w:r>
          </w:p>
        </w:tc>
        <w:tc>
          <w:tcPr>
            <w:tcW w:w="1656" w:type="dxa"/>
            <w:vAlign w:val="center"/>
          </w:tcPr>
          <w:p>
            <w:pPr>
              <w:spacing w:line="578" w:lineRule="exact"/>
              <w:jc w:val="center"/>
              <w:rPr>
                <w:rFonts w:hint="eastAsia" w:ascii="仿宋" w:hAnsi="仿宋" w:eastAsia="仿宋" w:cs="仿宋"/>
                <w:b w:val="0"/>
                <w:bCs w:val="0"/>
                <w:sz w:val="21"/>
                <w:szCs w:val="21"/>
              </w:rPr>
            </w:pPr>
          </w:p>
        </w:tc>
      </w:tr>
    </w:tbl>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八、项目进展情况</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（一）项目建设进度：筹备</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（二）项目前期手续办理情况：项目总体规划已完成、选址、土地、立项、施工许可证未完成。</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九、项目效益分析</w:t>
      </w:r>
    </w:p>
    <w:p>
      <w:pPr>
        <w:spacing w:line="540" w:lineRule="exact"/>
        <w:ind w:firstLine="640" w:firstLineChars="200"/>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充分发挥全县资源优势,到2025年,农村产业融合示范园农副产品加工产业、休闲生态旅游、健康养生产业等初具规模,年产值达到18亿元以上,实现利税超过1亿元,带动园区示范区内乡镇4万农民受益,农民人均增收800元左右;到2030年,发展成自主创新能力强、规模大、产业配套齐全、与第三产业深度融合发展的农村产业体系,年产值达到30亿元以上,实现利税超过2.2亿元,带动园区辐射区内所有乡镇农民受益,农民人均增收1800元左右。</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十、招商目标</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招商需求：“黄酒小镇”建设项目、现代生态休闲农业项目、小杂粮产品功能拓展项目。</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招商对象：国内外从事招投资企业、风险投资基金、大型龙头企业等。</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拟引资金：2亿元（人民币）</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合作方式：股份制企业合作或直投。</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十一、招商引资优惠政策及服务措施</w:t>
      </w:r>
    </w:p>
    <w:p>
      <w:pPr>
        <w:widowControl/>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（一）优惠政策</w:t>
      </w:r>
    </w:p>
    <w:p>
      <w:pPr>
        <w:widowControl/>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1.项目可享受的优惠政策文件名称：山西省发展和改革委员会《关于开展第二批国家农村产业融合发展示范园创建工作的通知》(晋发改农经函〔2019〕169号)</w:t>
      </w:r>
    </w:p>
    <w:p>
      <w:pPr>
        <w:widowControl/>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（二）服务措施</w:t>
      </w:r>
    </w:p>
    <w:p>
      <w:pPr>
        <w:widowControl/>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政府负责园区的基础设施建设，为入驻园区的企业提供基本的公共服务。</w:t>
      </w:r>
    </w:p>
    <w:p>
      <w:pPr>
        <w:widowControl/>
        <w:spacing w:line="540" w:lineRule="exact"/>
        <w:ind w:firstLine="643"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十二、其他</w:t>
      </w:r>
    </w:p>
    <w:p>
      <w:pPr>
        <w:spacing w:line="540" w:lineRule="exact"/>
        <w:ind w:firstLine="643"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（二）园区类招商项目：</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开发区级别：县级</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现有土地面积：11.46平方公里</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已使用土地面积：3平方公里</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可供使用土地面积:7平方公里</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主导产业方向:黄酒、小杂粮、休闲农业。</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产业基础情况:龙头企业经营状况良好，带动效益明显，已形成完整的产业链，但存在规模较小、科技含量较低、与农民的深度融合还有待加强等问题。</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产业发展定位：打造市级现代农业产业示范园</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已入驻重点企业情况：目前已入驻6家企业，分别为山西四达酒类饮料有限责任公司、山西省代县代王酿酒有限公司、山西景坤大地农业科技有限公司、金九州甜糯玉米有限公司、代县景荣种植专业合作社、山西滹沱河鑫盛野生植物科技有限公司养生北茶茶厂。</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园区土地价格：8万元/亩</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水电暖价格：水费：5.1元/吨。电费因企业性质不同而收费标准不同，均价0.3元/千瓦时。暖气费：29.5元/平方米。</w:t>
      </w:r>
    </w:p>
    <w:p>
      <w:pPr>
        <w:spacing w:line="540" w:lineRule="exact"/>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十三、招商项目联系人信息</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姓名：高国恩</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单位：代县农业农村局</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职务：副局长</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联系方式：13303503958</w:t>
      </w:r>
    </w:p>
    <w:p>
      <w:pPr>
        <w:spacing w:line="540" w:lineRule="exact"/>
        <w:ind w:firstLine="64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邮箱：dxnyncj@163.com</w:t>
      </w:r>
    </w:p>
    <w:p>
      <w:pPr>
        <w:spacing w:line="360" w:lineRule="auto"/>
        <w:rPr>
          <w:rFonts w:hint="eastAsia" w:ascii="仿宋" w:hAnsi="仿宋" w:eastAsia="仿宋" w:cs="仿宋"/>
          <w:b w:val="0"/>
          <w:bCs w:val="0"/>
          <w:sz w:val="21"/>
          <w:szCs w:val="21"/>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link w:val="7"/>
    <w:pPr>
      <w:keepNext/>
      <w:keepLines/>
      <w:spacing w:before="280" w:after="290" w:line="376" w:lineRule="auto"/>
      <w:outlineLvl w:val="4"/>
    </w:pPr>
    <w:rPr>
      <w:rFonts w:cs="Times New Roman"/>
      <w:b/>
      <w:bCs/>
      <w:sz w:val="28"/>
      <w:szCs w:val="28"/>
    </w:rPr>
  </w:style>
  <w:style w:type="character" w:default="1" w:styleId="6">
    <w:name w:val="Default Paragraph Font"/>
  </w:style>
  <w:style w:type="paragraph" w:styleId="3">
    <w:name w:val="footer"/>
    <w:basedOn w:val="1"/>
    <w:link w:val="8"/>
    <w:pPr>
      <w:tabs>
        <w:tab w:val="center" w:pos="4153"/>
        <w:tab w:val="right" w:pos="8306"/>
      </w:tabs>
      <w:snapToGrid w:val="0"/>
      <w:jc w:val="left"/>
    </w:pPr>
    <w:rPr>
      <w:rFonts w:cs="Times New Roman"/>
      <w:sz w:val="18"/>
      <w:szCs w:val="18"/>
    </w:rPr>
  </w:style>
  <w:style w:type="paragraph" w:styleId="4">
    <w:name w:val="header"/>
    <w:basedOn w:val="1"/>
    <w:link w:val="9"/>
    <w:pPr>
      <w:pBdr>
        <w:bottom w:val="single" w:color="auto" w:sz="6" w:space="1"/>
      </w:pBdr>
      <w:tabs>
        <w:tab w:val="center" w:pos="4153"/>
        <w:tab w:val="right" w:pos="8306"/>
      </w:tabs>
      <w:snapToGrid w:val="0"/>
      <w:jc w:val="center"/>
    </w:pPr>
    <w:rPr>
      <w:rFonts w:cs="Times New Roman"/>
      <w:sz w:val="18"/>
      <w:szCs w:val="18"/>
    </w:rPr>
  </w:style>
  <w:style w:type="paragraph" w:styleId="5">
    <w:name w:val="Title"/>
    <w:basedOn w:val="1"/>
    <w:next w:val="1"/>
    <w:link w:val="10"/>
    <w:pPr>
      <w:spacing w:before="240" w:after="60"/>
      <w:jc w:val="center"/>
      <w:outlineLvl w:val="0"/>
    </w:pPr>
    <w:rPr>
      <w:rFonts w:ascii="Cambria" w:hAnsi="Cambria" w:eastAsia="宋体" w:cs="Times New Roman"/>
      <w:b/>
      <w:bCs/>
      <w:sz w:val="32"/>
      <w:szCs w:val="32"/>
    </w:rPr>
  </w:style>
  <w:style w:type="character" w:customStyle="1" w:styleId="7">
    <w:name w:val="Heading 5 Char"/>
    <w:basedOn w:val="6"/>
    <w:link w:val="2"/>
    <w:semiHidden/>
    <w:rPr>
      <w:rFonts w:cs="Times New Roman"/>
      <w:b/>
      <w:bCs/>
      <w:sz w:val="28"/>
      <w:szCs w:val="28"/>
    </w:rPr>
  </w:style>
  <w:style w:type="character" w:customStyle="1" w:styleId="8">
    <w:name w:val="Footer Char"/>
    <w:basedOn w:val="6"/>
    <w:link w:val="3"/>
    <w:semiHidden/>
    <w:rPr>
      <w:rFonts w:cs="Times New Roman"/>
      <w:sz w:val="18"/>
      <w:szCs w:val="18"/>
    </w:rPr>
  </w:style>
  <w:style w:type="character" w:customStyle="1" w:styleId="9">
    <w:name w:val="Header Char"/>
    <w:basedOn w:val="6"/>
    <w:link w:val="4"/>
    <w:semiHidden/>
    <w:rPr>
      <w:rFonts w:cs="Times New Roman"/>
      <w:sz w:val="18"/>
      <w:szCs w:val="18"/>
    </w:rPr>
  </w:style>
  <w:style w:type="character" w:customStyle="1" w:styleId="10">
    <w:name w:val="Title Char"/>
    <w:basedOn w:val="6"/>
    <w:link w:val="5"/>
    <w:semiHidden/>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1002</Words>
  <Characters>5716</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2019-07-02T15:37:00Z</dcterms:created>
  <dc:creator>gyb1</dc:creator>
  <cp:lastPrinted>2020-02-21T17:44:00Z</cp:lastPrinted>
  <dcterms:modified xsi:type="dcterms:W3CDTF">2020-12-11T11:39:02Z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