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妇幼重大公共卫生服务中心建设项目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一、项目名称</w:t>
      </w:r>
      <w:r>
        <w:rPr>
          <w:rFonts w:hint="eastAsia"/>
          <w:sz w:val="30"/>
          <w:szCs w:val="30"/>
          <w:lang w:eastAsia="zh-CN"/>
        </w:rPr>
        <w:t>：</w:t>
      </w:r>
      <w:bookmarkStart w:id="0" w:name="_GoBack"/>
      <w:r>
        <w:rPr>
          <w:rFonts w:hint="eastAsia"/>
          <w:sz w:val="30"/>
          <w:szCs w:val="30"/>
          <w:lang w:eastAsia="zh-CN"/>
        </w:rPr>
        <w:t>妇幼重大公共卫生服务中心建设项目</w:t>
      </w:r>
      <w:bookmarkEnd w:id="0"/>
    </w:p>
    <w:p>
      <w:p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二、申报单位</w:t>
      </w:r>
      <w:r>
        <w:rPr>
          <w:rFonts w:hint="eastAsia"/>
          <w:sz w:val="30"/>
          <w:szCs w:val="30"/>
          <w:lang w:eastAsia="zh-CN"/>
        </w:rPr>
        <w:t>：代县妇幼保健服务中心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三、申报单位简况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代县妇幼保健服务中心是</w:t>
      </w:r>
      <w:r>
        <w:rPr>
          <w:rFonts w:hint="eastAsia"/>
          <w:sz w:val="30"/>
          <w:szCs w:val="30"/>
          <w:lang w:val="en-US" w:eastAsia="zh-CN"/>
        </w:rPr>
        <w:t>1990年</w:t>
      </w:r>
      <w:r>
        <w:rPr>
          <w:rFonts w:hint="eastAsia"/>
          <w:sz w:val="30"/>
          <w:szCs w:val="30"/>
          <w:lang w:eastAsia="zh-CN"/>
        </w:rPr>
        <w:t>成立的非盈利性全民所有制的妇幼医院，是一所集预防保健医疗培训、健康教育为一体的新型二级乙等医疗机构。医院设施齐全，服务周到，技术精湛，全院职工总数86人，具有高级职称9人，中级职称9人，初级职称30人，党员共有14人。现占地面积16800平方米，建筑面积9000方米，设有床位50支，医院现有临床科室主要有儿科、妇产科、内科、外科、放射科、化验室、彩超室、心电图室。保健科室有妇保科、儿保科、健康教育所、信息资料科、药具股等科室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妇幼医院医疗设施齐全，主要有彩超3台、韩国DR1台、GECT1台、心电工作站一套、微量元素分析仪1台、微波治疗仪1台、全自动急检生化仪1台、全自动生化分析仪2台、胎儿监护仪3台、红外线辐射抢救台5台、新生儿暖箱2台、骨密度仪1台、激光法治疗静脉曲张仪1台、皮肤美容仪1台、电子阴道镜2台以及配套的化验设施。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妇幼医院既保持了预防保健的特色，又突出了妇科儿科临床业务的优势，还具备了各类检查治疗的综合能力，服务周到。我单位节假日不休息，照常门诊，全天为患者服务，并定期外聘请省市级医疗单位各科专家坐诊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ind w:firstLine="600" w:firstLineChars="200"/>
        <w:rPr>
          <w:rFonts w:hint="eastAsia" w:cs="Times New Roman"/>
          <w:color w:val="auto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(一)项目内容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 w:cs="Times New Roman"/>
          <w:color w:val="auto"/>
          <w:sz w:val="30"/>
          <w:szCs w:val="30"/>
          <w:highlight w:val="none"/>
          <w:lang w:val="en-US" w:eastAsia="zh-CN"/>
        </w:rPr>
        <w:t>医院规划占地面积为46亩，本次在医院内建设1栋3层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框架结构的</w:t>
      </w:r>
      <w:r>
        <w:rPr>
          <w:rFonts w:hint="eastAsia" w:cs="Times New Roman"/>
          <w:color w:val="auto"/>
          <w:sz w:val="30"/>
          <w:szCs w:val="30"/>
          <w:lang w:eastAsia="zh-CN"/>
        </w:rPr>
        <w:t>公共卫生服务中心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楼</w:t>
      </w:r>
      <w:r>
        <w:rPr>
          <w:rFonts w:hint="eastAsia" w:cs="Times New Roman"/>
          <w:color w:val="auto"/>
          <w:sz w:val="30"/>
          <w:szCs w:val="30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总建筑面积为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2000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m</w:t>
      </w:r>
      <w:r>
        <w:rPr>
          <w:rFonts w:hint="default" w:ascii="Times New Roman" w:hAnsi="Times New Roman" w:cs="Times New Roman"/>
          <w:color w:val="auto"/>
          <w:sz w:val="30"/>
          <w:szCs w:val="30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，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基底面积为666.67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m</w:t>
      </w:r>
      <w:r>
        <w:rPr>
          <w:rFonts w:hint="default" w:ascii="Times New Roman" w:hAnsi="Times New Roman" w:cs="Times New Roman"/>
          <w:color w:val="auto"/>
          <w:sz w:val="30"/>
          <w:szCs w:val="30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，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并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配套建设水、暖、电等基础配套设施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。</w:t>
      </w:r>
    </w:p>
    <w:p>
      <w:pPr>
        <w:numPr>
          <w:numId w:val="0"/>
        </w:numPr>
        <w:ind w:firstLine="300" w:firstLineChars="100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（二）</w:t>
      </w:r>
      <w:r>
        <w:rPr>
          <w:rFonts w:hint="eastAsia"/>
          <w:sz w:val="30"/>
          <w:szCs w:val="30"/>
        </w:rPr>
        <w:t>项目投资估算(万元) :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该项目估算总投资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700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万元，其中：工程费用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596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万元，工程建设其它费用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52.55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万元，基本预备费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51.45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万元。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申请中央预算内投资560万元，地方配套140万元。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五、</w:t>
      </w:r>
      <w:r>
        <w:rPr>
          <w:rFonts w:hint="eastAsia"/>
          <w:sz w:val="30"/>
          <w:szCs w:val="30"/>
        </w:rPr>
        <w:t>项目进展情况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)政策:符合国家、产业政策及山西省产业规划;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(二)核准(备案) :申报，核准: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(三)土地、环保:符合国家土地政策及及环保规定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(四)项目可行性研究报告及项目建议书</w:t>
      </w:r>
    </w:p>
    <w:p>
      <w:pPr>
        <w:numPr>
          <w:numId w:val="0"/>
        </w:num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(五)项目前期进展情况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numPr>
          <w:numId w:val="0"/>
        </w:numPr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项目批准后，依据项目资金落实情况，合理安排各单项工程开工相互衔接时间。</w:t>
      </w:r>
      <w:r>
        <w:rPr>
          <w:rFonts w:hint="eastAsia" w:ascii="Times New Roman" w:hAnsi="Times New Roman" w:cs="Times New Roman"/>
          <w:color w:val="auto"/>
          <w:sz w:val="30"/>
          <w:szCs w:val="30"/>
          <w:lang w:val="en-US" w:eastAsia="zh-CN"/>
        </w:rPr>
        <w:t>暂未开工。</w:t>
      </w:r>
    </w:p>
    <w:p>
      <w:pPr>
        <w:widowControl w:val="0"/>
        <w:wordWrap/>
        <w:adjustRightInd w:val="0"/>
        <w:snapToGrid w:val="0"/>
        <w:ind w:right="0" w:firstLine="600" w:firstLineChars="200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预计：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2021年6月至2022年12月为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项目主体工程</w:t>
      </w:r>
      <w:r>
        <w:rPr>
          <w:rFonts w:hint="default" w:ascii="Times New Roman" w:hAnsi="Times New Roman" w:cs="Times New Roman"/>
          <w:color w:val="auto"/>
          <w:sz w:val="30"/>
          <w:szCs w:val="30"/>
          <w:lang w:eastAsia="zh-CN"/>
        </w:rPr>
        <w:t>建设阶段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；</w:t>
      </w:r>
      <w:r>
        <w:rPr>
          <w:rFonts w:hint="eastAsia" w:cs="Times New Roman"/>
          <w:color w:val="auto"/>
          <w:sz w:val="30"/>
          <w:szCs w:val="30"/>
          <w:lang w:val="en-US" w:eastAsia="zh-CN"/>
        </w:rPr>
        <w:t>2023年1月至2023年7月为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相关配套工程施工</w:t>
      </w:r>
      <w:r>
        <w:rPr>
          <w:rFonts w:hint="default" w:ascii="Times New Roman" w:hAnsi="Times New Roman" w:cs="Times New Roman"/>
          <w:color w:val="auto"/>
          <w:sz w:val="30"/>
          <w:szCs w:val="30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竣工验收阶段</w:t>
      </w: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>。</w:t>
      </w:r>
    </w:p>
    <w:p>
      <w:pPr>
        <w:numPr>
          <w:numId w:val="0"/>
        </w:num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六、拟引资方式</w:t>
      </w:r>
      <w:r>
        <w:rPr>
          <w:rFonts w:hint="eastAsia"/>
          <w:sz w:val="30"/>
          <w:szCs w:val="30"/>
          <w:lang w:eastAsia="zh-CN"/>
        </w:rPr>
        <w:t>：申请中央预算和地方配套资金。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七、招商方向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numPr>
          <w:numId w:val="0"/>
        </w:numPr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地址</w:t>
      </w:r>
      <w:r>
        <w:rPr>
          <w:rFonts w:hint="eastAsia"/>
          <w:sz w:val="30"/>
          <w:szCs w:val="30"/>
          <w:lang w:eastAsia="zh-CN"/>
        </w:rPr>
        <w:t>：代县北门街</w:t>
      </w:r>
      <w:r>
        <w:rPr>
          <w:rFonts w:hint="eastAsia"/>
          <w:sz w:val="30"/>
          <w:szCs w:val="30"/>
          <w:lang w:val="en-US" w:eastAsia="zh-CN"/>
        </w:rPr>
        <w:t>26号</w:t>
      </w:r>
    </w:p>
    <w:p>
      <w:pPr>
        <w:numPr>
          <w:numId w:val="0"/>
        </w:numPr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联系人</w:t>
      </w:r>
      <w:r>
        <w:rPr>
          <w:rFonts w:hint="eastAsia"/>
          <w:sz w:val="30"/>
          <w:szCs w:val="30"/>
          <w:lang w:eastAsia="zh-CN"/>
        </w:rPr>
        <w:t>：张利生</w:t>
      </w:r>
    </w:p>
    <w:p>
      <w:pPr>
        <w:numPr>
          <w:numId w:val="0"/>
        </w:numPr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手机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13994060818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电子信箱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"mailto:dxfybjz@sina.com"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eastAsia"/>
          <w:sz w:val="30"/>
          <w:szCs w:val="30"/>
          <w:lang w:val="en-US" w:eastAsia="zh-CN"/>
        </w:rPr>
        <w:t>dxfybjz@sina.com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25" o:spid="_x0000_s1027" type="#_x0000_t75" style="height:260.45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Cambria" w:hAnsi="Cambria" w:eastAsia="宋体" w:cs="黑体"/>
          <w:b/>
          <w:bCs/>
          <w:kern w:val="2"/>
          <w:sz w:val="24"/>
          <w:szCs w:val="32"/>
          <w:lang w:val="en-US" w:eastAsia="zh-CN" w:bidi="ar-SA"/>
        </w:rPr>
        <w:pict>
          <v:shape id="图片 3" o:spid="_x0000_s1026" type="#_x0000_t75" style="position:absolute;left:0;margin-left:25.4pt;margin-top:20.6pt;height:126.75pt;width:390.7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Cambria" w:hAnsi="Cambria" w:eastAsia="宋体" w:cs="黑体"/>
          <w:b/>
          <w:bCs/>
          <w:kern w:val="2"/>
          <w:sz w:val="24"/>
          <w:szCs w:val="32"/>
          <w:lang w:val="en-US" w:eastAsia="zh-CN" w:bidi="ar-SA"/>
        </w:rPr>
        <w:pict>
          <v:shape id="图片 2" o:spid="_x0000_s1025" type="#_x0000_t75" style="position:absolute;left:0;margin-left:18pt;margin-top:11.8pt;height:188.2pt;width:409.4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Title"/>
    <w:basedOn w:val="1"/>
    <w:next w:val="1"/>
    <w:pPr>
      <w:spacing w:line="360" w:lineRule="auto"/>
      <w:ind w:firstLine="200" w:firstLineChars="200"/>
      <w:jc w:val="center"/>
    </w:pPr>
    <w:rPr>
      <w:rFonts w:ascii="Cambria" w:hAnsi="Cambria"/>
      <w:b/>
      <w:bCs/>
      <w:sz w:val="24"/>
      <w:szCs w:val="32"/>
    </w:rPr>
  </w:style>
  <w:style w:type="character" w:styleId="4">
    <w:name w:val="Hyperlink"/>
    <w:basedOn w:val="3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Printed>2020-11-13T10:00:00Z</cp:lastPrinted>
  <dcterms:modified xsi:type="dcterms:W3CDTF">2020-11-19T17:21:05Z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