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line="578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代县白仁岩生态文化旅游区建设项目</w:t>
      </w:r>
      <w:bookmarkEnd w:id="0"/>
    </w:p>
    <w:p>
      <w:pPr>
        <w:wordWrap/>
        <w:adjustRightInd/>
        <w:snapToGrid/>
        <w:spacing w:line="578" w:lineRule="exact"/>
        <w:ind w:left="0" w:leftChars="0" w:righ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numPr>
          <w:numId w:val="0"/>
        </w:numPr>
        <w:wordWrap/>
        <w:adjustRightInd/>
        <w:snapToGrid/>
        <w:spacing w:line="578" w:lineRule="exact"/>
        <w:ind w:leftChars="20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一、</w:t>
      </w:r>
      <w:r>
        <w:rPr>
          <w:rFonts w:hint="eastAsia" w:ascii="宋体" w:hAnsi="宋体" w:eastAsia="宋体" w:cs="宋体"/>
          <w:sz w:val="28"/>
          <w:szCs w:val="28"/>
        </w:rPr>
        <w:t>项目名称</w:t>
      </w:r>
    </w:p>
    <w:p>
      <w:pPr>
        <w:numPr>
          <w:numId w:val="0"/>
        </w:numPr>
        <w:wordWrap/>
        <w:adjustRightInd/>
        <w:snapToGrid/>
        <w:spacing w:line="578" w:lineRule="exact"/>
        <w:ind w:leftChars="200" w:right="0"/>
        <w:textAlignment w:val="auto"/>
        <w:rPr>
          <w:rFonts w:hint="eastAsia" w:ascii="宋体" w:hAnsi="宋体" w:eastAsia="宋体" w:cs="宋体"/>
          <w:w w:val="96"/>
          <w:sz w:val="28"/>
          <w:szCs w:val="28"/>
        </w:rPr>
      </w:pPr>
      <w:r>
        <w:rPr>
          <w:rFonts w:hint="eastAsia" w:ascii="宋体" w:hAnsi="宋体" w:eastAsia="宋体" w:cs="宋体"/>
          <w:w w:val="96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w w:val="96"/>
          <w:sz w:val="28"/>
          <w:szCs w:val="28"/>
          <w:lang w:eastAsia="zh-CN"/>
        </w:rPr>
        <w:t>代县白仁岩生态文化旅游区建设项目</w:t>
      </w:r>
    </w:p>
    <w:p>
      <w:pPr>
        <w:numPr>
          <w:ilvl w:val="0"/>
          <w:numId w:val="1"/>
        </w:numPr>
        <w:wordWrap/>
        <w:adjustRightInd/>
        <w:snapToGrid/>
        <w:spacing w:line="578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sz w:val="28"/>
          <w:szCs w:val="28"/>
        </w:rPr>
        <w:t>单位</w:t>
      </w:r>
    </w:p>
    <w:p>
      <w:pPr>
        <w:numPr>
          <w:numId w:val="0"/>
        </w:numPr>
        <w:wordWrap/>
        <w:adjustRightInd/>
        <w:snapToGrid/>
        <w:spacing w:line="578" w:lineRule="exact"/>
        <w:ind w:leftChars="20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代县文化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t>旅游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局</w:t>
      </w:r>
    </w:p>
    <w:p>
      <w:pPr>
        <w:wordWrap/>
        <w:adjustRightInd/>
        <w:snapToGrid/>
        <w:spacing w:line="578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概括</w:t>
      </w:r>
    </w:p>
    <w:p>
      <w:pPr>
        <w:wordWrap/>
        <w:adjustRightInd/>
        <w:snapToGrid/>
        <w:spacing w:line="578" w:lineRule="exact"/>
        <w:ind w:left="0" w:leftChars="0" w:right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（一）项目内容</w:t>
      </w:r>
    </w:p>
    <w:p>
      <w:pPr>
        <w:wordWrap/>
        <w:adjustRightInd/>
        <w:snapToGrid/>
        <w:spacing w:line="578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白仁岩生态文化旅游区规划范围南以代县、原平市县界为界，西以代县、原平市县界以及代县阳明堡镇与雁门关乡的乡界为界，北以东马近沟北侧的山脊线—高速公路为界，至野庄村，东大致以1150米的等高线为界，由南至北包括石后沟、水清沟、西马近沟、东马近沟四条沟，以及东部的山前洪积扇坡地，总面积约26.22平方公里。白仁岩生态文化旅游区重点开发区包括三个区域，分别为：门户综合服务区、白仁岩寺核心朝圣区、九龙区域，总面积约12.97平方公里。</w:t>
      </w:r>
    </w:p>
    <w:p>
      <w:pPr>
        <w:numPr>
          <w:numId w:val="0"/>
        </w:numPr>
        <w:wordWrap/>
        <w:adjustRightInd/>
        <w:snapToGrid/>
        <w:spacing w:line="578" w:lineRule="exact"/>
        <w:ind w:leftChars="200" w:right="0"/>
        <w:textAlignment w:val="auto"/>
        <w:rPr>
          <w:rFonts w:hint="eastAsia" w:ascii="宋体" w:hAnsi="宋体" w:eastAsia="宋体" w:cs="宋体"/>
          <w:w w:val="96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2.项目建设内容及规模：</w:t>
      </w:r>
      <w:r>
        <w:rPr>
          <w:rFonts w:hint="eastAsia" w:ascii="宋体" w:hAnsi="宋体" w:eastAsia="宋体" w:cs="宋体"/>
          <w:w w:val="96"/>
          <w:sz w:val="28"/>
          <w:szCs w:val="28"/>
          <w:lang w:eastAsia="zh-CN"/>
        </w:rPr>
        <w:t>代县白仁岩生态文化旅游区详细</w:t>
      </w:r>
    </w:p>
    <w:p>
      <w:pPr>
        <w:numPr>
          <w:numId w:val="0"/>
        </w:numPr>
        <w:wordWrap/>
        <w:adjustRightInd/>
        <w:snapToGrid/>
        <w:spacing w:line="578" w:lineRule="exact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96"/>
          <w:sz w:val="28"/>
          <w:szCs w:val="28"/>
          <w:lang w:eastAsia="zh-CN"/>
        </w:rPr>
        <w:t>规划控制两个范围，一为白仁岩生态文化旅游区总范围，二为重点项目开发区，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重点开发区包括三个区域，分别为：门户综合服务区、白仁岩寺核心朝圣区、九龙区域。</w:t>
      </w:r>
    </w:p>
    <w:p>
      <w:pPr>
        <w:wordWrap/>
        <w:adjustRightInd/>
        <w:snapToGrid/>
        <w:spacing w:line="578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门户综合服务区投资86000万元。</w:t>
      </w:r>
      <w:r>
        <w:rPr>
          <w:rFonts w:hint="eastAsia" w:ascii="宋体" w:hAnsi="宋体" w:eastAsia="宋体" w:cs="宋体"/>
          <w:sz w:val="28"/>
          <w:szCs w:val="28"/>
        </w:rPr>
        <w:t>内容包括：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高速引道、平安朝拜台—阿弥托佛门、十八罗汉护山大道、空中大戒坛、人文纪念园、凡间宫阙（盆景庄园）、白仁岩古镇（家庭微景区）、白仁岩下寺、入口牌坊、游客服务中心、平安朝拜广场、朝山门、停车场、下寺标识、集散广场、易行道、九龙饮水、步道、其他道路。</w:t>
      </w:r>
    </w:p>
    <w:p>
      <w:pPr>
        <w:wordWrap/>
        <w:adjustRightInd/>
        <w:snapToGrid/>
        <w:spacing w:line="578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白仁岩寺核心朝圣区投资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14607万元，内容包括：祖庭莲舍、“莲莲高升”登山电梯、数字极乐世界、甘露坛、上寺建筑群提升、书画院、远公塔、慧远坐莲、上寺喷淋雾化工程、七宝池、七彩莲瀑、五种门、九叠莲池、景观节点优化提升、土地庙、圣果林、广修善渠、景观水系、智慧树、云中栈道、“云中飞莲”滑索、游步道、索道。</w:t>
      </w:r>
    </w:p>
    <w:p>
      <w:pPr>
        <w:wordWrap/>
        <w:adjustRightInd/>
        <w:snapToGrid/>
        <w:spacing w:line="578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九龙灵境瞻仰区投资8680万元，内容包括：九龙灵境、九龙观、九龙幻化池、九龙泉、辟谷养生院。</w:t>
      </w:r>
    </w:p>
    <w:p>
      <w:pPr>
        <w:wordWrap/>
        <w:adjustRightInd/>
        <w:snapToGrid/>
        <w:spacing w:line="578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产业示范园区投资60682万元，内容包括：九龙新村、原生态村落保护、家文化博物馆、现代农业种植园、特色小杂粮种植园、苗圃花卉园、特色养殖园、生产加工园、养生、道路。</w:t>
      </w:r>
    </w:p>
    <w:p>
      <w:pPr>
        <w:wordWrap/>
        <w:adjustRightInd/>
        <w:snapToGrid/>
        <w:spacing w:line="578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生态环境保育区投资5025万元，内容包括：汽车极限运动基地、登山健身步道、边塞野滩、塞上野谷、道路。</w:t>
      </w:r>
    </w:p>
    <w:p>
      <w:pPr>
        <w:wordWrap/>
        <w:adjustRightInd/>
        <w:snapToGrid/>
        <w:spacing w:line="578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公共配套设施及其他投资42010万元，内容包括：给水工程、排水工程、供热工程、电讯设施、电力设施、环卫设施、标识系统、智慧景区建设、绿化、旅游商品开发、市场营销及其他费用。</w:t>
      </w:r>
    </w:p>
    <w:p>
      <w:pPr>
        <w:wordWrap/>
        <w:adjustRightInd/>
        <w:snapToGrid/>
        <w:spacing w:line="578" w:lineRule="exact"/>
        <w:ind w:right="0"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项目投资估算（万元）：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总投资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216204万元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 xml:space="preserve">     </w:t>
      </w:r>
    </w:p>
    <w:p>
      <w:pPr>
        <w:wordWrap/>
        <w:adjustRightInd/>
        <w:snapToGrid/>
        <w:spacing w:line="578" w:lineRule="exact"/>
        <w:ind w:left="559" w:leftChars="266" w:right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（三）项目配套条件：</w:t>
      </w:r>
      <w:r>
        <w:rPr>
          <w:rFonts w:hint="eastAsia" w:ascii="宋体" w:hAnsi="宋体" w:eastAsia="宋体" w:cs="宋体"/>
          <w:sz w:val="28"/>
          <w:szCs w:val="28"/>
        </w:rPr>
        <w:t>交通便利,通讯、水、电等基础设施齐备。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（四）项目市场预测及效益分析：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本项目实施后预计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旅游收入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将达到1.5亿元，扣除50％的经营成本，3.36％的销售税金及附加，利润余额达到6996万元；5年后旅游收入达到11.6亿元，利润金额为5.4亿元；10年后旅游收入达到27.5亿元，利润余额为12.8亿元。</w:t>
      </w:r>
    </w:p>
    <w:p>
      <w:pPr>
        <w:shd w:val="solid" w:color="FFFFFF" w:fill="auto"/>
        <w:autoSpaceDN w:val="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  <w:shd w:val="clear" w:color="auto" w:fill="FFFFFF"/>
        </w:rPr>
        <w:t>五、项目进展情况</w:t>
      </w:r>
    </w:p>
    <w:p>
      <w:pPr>
        <w:tabs>
          <w:tab w:val="left" w:pos="0"/>
        </w:tabs>
        <w:wordWrap/>
        <w:adjustRightInd/>
        <w:snapToGrid/>
        <w:spacing w:line="578" w:lineRule="exact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该项目符合国家、产业政策及山西省产业规划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sz w:val="28"/>
          <w:szCs w:val="28"/>
        </w:rPr>
        <w:t>符合国家土地政策及环保规定。</w:t>
      </w:r>
    </w:p>
    <w:p>
      <w:pPr>
        <w:tabs>
          <w:tab w:val="left" w:pos="0"/>
        </w:tabs>
        <w:wordWrap/>
        <w:adjustRightInd/>
        <w:snapToGrid/>
        <w:spacing w:line="578" w:lineRule="exact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　　</w:t>
      </w:r>
      <w:r>
        <w:rPr>
          <w:rFonts w:hint="eastAsia" w:ascii="宋体" w:hAnsi="宋体" w:eastAsia="宋体" w:cs="宋体"/>
          <w:b/>
          <w:sz w:val="28"/>
          <w:szCs w:val="28"/>
          <w:shd w:val="clear" w:color="auto" w:fill="FFFFFF"/>
        </w:rPr>
        <w:t>六、拟引资方式：</w:t>
      </w:r>
      <w:r>
        <w:rPr>
          <w:rFonts w:hint="eastAsia" w:ascii="宋体" w:hAnsi="宋体" w:eastAsia="宋体" w:cs="宋体"/>
          <w:sz w:val="28"/>
          <w:szCs w:val="28"/>
        </w:rPr>
        <w:t>合资、合作</w:t>
      </w:r>
    </w:p>
    <w:p>
      <w:pPr>
        <w:shd w:val="solid" w:color="FFFFFF" w:fill="auto"/>
        <w:autoSpaceDN w:val="0"/>
        <w:rPr>
          <w:rFonts w:hint="eastAsia" w:ascii="宋体" w:hAnsi="宋体" w:eastAsia="宋体" w:cs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　　</w:t>
      </w:r>
      <w:r>
        <w:rPr>
          <w:rFonts w:hint="eastAsia" w:ascii="宋体" w:hAnsi="宋体" w:eastAsia="宋体" w:cs="宋体"/>
          <w:b/>
          <w:sz w:val="28"/>
          <w:szCs w:val="28"/>
          <w:shd w:val="clear" w:color="auto" w:fill="FFFFFF"/>
        </w:rPr>
        <w:t>七、申报单位联系方式</w:t>
      </w:r>
    </w:p>
    <w:p>
      <w:pPr>
        <w:tabs>
          <w:tab w:val="left" w:pos="0"/>
        </w:tabs>
        <w:wordWrap/>
        <w:adjustRightInd/>
        <w:snapToGrid/>
        <w:spacing w:line="578" w:lineRule="exact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　　</w:t>
      </w:r>
      <w:r>
        <w:rPr>
          <w:rFonts w:hint="eastAsia" w:ascii="宋体" w:hAnsi="宋体" w:eastAsia="宋体" w:cs="宋体"/>
          <w:sz w:val="28"/>
          <w:szCs w:val="28"/>
        </w:rPr>
        <w:t>地址：山西省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代</w:t>
      </w:r>
      <w:r>
        <w:rPr>
          <w:rFonts w:hint="eastAsia" w:ascii="宋体" w:hAnsi="宋体" w:eastAsia="宋体" w:cs="宋体"/>
          <w:sz w:val="28"/>
          <w:szCs w:val="28"/>
        </w:rPr>
        <w:t>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东大街半巷</w:t>
      </w:r>
    </w:p>
    <w:p>
      <w:pPr>
        <w:tabs>
          <w:tab w:val="left" w:pos="0"/>
        </w:tabs>
        <w:wordWrap/>
        <w:adjustRightInd/>
        <w:snapToGrid/>
        <w:spacing w:line="578" w:lineRule="exact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刘俊伟</w:t>
      </w:r>
    </w:p>
    <w:p>
      <w:pPr>
        <w:tabs>
          <w:tab w:val="left" w:pos="0"/>
        </w:tabs>
        <w:wordWrap/>
        <w:adjustRightInd/>
        <w:snapToGrid/>
        <w:spacing w:line="578" w:lineRule="exact"/>
        <w:ind w:right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手机：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15034438128</w:t>
      </w:r>
    </w:p>
    <w:p>
      <w:pPr>
        <w:tabs>
          <w:tab w:val="left" w:pos="0"/>
        </w:tabs>
        <w:wordWrap/>
        <w:adjustRightInd/>
        <w:snapToGrid/>
        <w:spacing w:line="578" w:lineRule="exact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电子信箱：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dxwlwbgs</w:t>
      </w:r>
      <w:r>
        <w:rPr>
          <w:rFonts w:hint="eastAsia" w:ascii="宋体" w:hAnsi="宋体" w:eastAsia="宋体" w:cs="宋体"/>
          <w:sz w:val="28"/>
          <w:szCs w:val="28"/>
        </w:rPr>
        <w:t>@163.com</w:t>
      </w:r>
    </w:p>
    <w:p>
      <w:pPr>
        <w:wordWrap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pict>
          <v:shape id="_x0000_i1025" o:spid="_x0000_s1025" alt="微信图片_20201111172421" type="#_x0000_t75" style="height:275.55pt;width:41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01111172421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ordWrap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pict>
          <v:shape id="_x0000_i1026" o:spid="_x0000_s1026" alt="微信图片_20201111172430" type="#_x0000_t75" style="height:268.2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01111172430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ordWrap/>
        <w:adjustRightInd/>
        <w:snapToGrid/>
        <w:spacing w:line="240" w:lineRule="auto"/>
        <w:ind w:left="0" w:leftChars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-SA"/>
        </w:rPr>
        <w:pict>
          <v:shape id="_x0000_i1027" o:spid="_x0000_s1027" alt="微信图片_20201111172438" type="#_x0000_t75" style="height:276.1pt;width:414.7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01111172438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ordWrap/>
        <w:adjustRightInd/>
        <w:snapToGrid/>
        <w:spacing w:line="578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wordWrap/>
        <w:adjustRightInd/>
        <w:snapToGrid/>
        <w:spacing w:line="578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wordWrap/>
        <w:adjustRightInd/>
        <w:snapToGrid/>
        <w:spacing w:line="578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wordWrap/>
        <w:adjustRightInd/>
        <w:snapToGrid/>
        <w:spacing w:line="578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wordWrap/>
        <w:adjustRightInd/>
        <w:snapToGrid/>
        <w:spacing w:line="578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wordWrap/>
        <w:adjustRightInd/>
        <w:snapToGrid/>
        <w:spacing w:line="578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wordWrap/>
        <w:adjustRightInd/>
        <w:snapToGrid/>
        <w:spacing w:line="578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wordWrap/>
        <w:adjustRightInd/>
        <w:snapToGrid/>
        <w:spacing w:line="240" w:lineRule="auto"/>
        <w:ind w:left="0" w:leftChars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-SA"/>
        </w:rPr>
        <w:pict>
          <v:shape id="_x0000_i1028" o:spid="_x0000_s1028" type="#_x0000_t75" style="height:264.55pt;width:415.2pt;rotation:0f;" o:ole="f" fillcolor="#FFFFFF" filled="f" o:preferrelative="t" stroked="f" coordorigin="0,0" coordsize="21600,21600">
            <v:fill on="f" color2="#FFFFFF" focus="0%"/>
            <v:imagedata gain="65536f" blacklevel="0f" gamma="0" o:title="timg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ordWrap/>
        <w:adjustRightInd/>
        <w:snapToGrid/>
        <w:spacing w:line="240" w:lineRule="auto"/>
        <w:ind w:left="0" w:leftChars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wordWrap/>
        <w:adjustRightInd/>
        <w:snapToGrid/>
        <w:spacing w:line="578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wordWrap/>
        <w:adjustRightInd/>
        <w:snapToGrid/>
        <w:spacing w:line="578" w:lineRule="exact"/>
        <w:ind w:left="0" w:leftChars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nsid w:val="00000004"/>
    <w:multiLevelType w:val="singleLevel"/>
    <w:tmpl w:val="00000004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  <w:style w:type="character" w:styleId="3">
    <w:name w:val="Hyperlink"/>
    <w:basedOn w:val="2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2020-03-12T17:00:00Z</dcterms:created>
  <dc:creator>我喜我独行</dc:creator>
  <cp:lastPrinted>2020-03-13T03:06:00Z</cp:lastPrinted>
  <dcterms:modified xsi:type="dcterms:W3CDTF">2020-11-19T17:08:52Z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