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pacing w:after="0" w:line="360" w:lineRule="auto"/>
        <w:ind w:left="0" w:leftChars="0" w:right="0" w:firstLine="880" w:firstLineChars="200"/>
        <w:jc w:val="center"/>
        <w:textAlignment w:val="auto"/>
        <w:outlineLvl w:val="9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widowControl w:val="0"/>
        <w:numPr>
          <w:ilvl w:val="0"/>
          <w:numId w:val="1"/>
        </w:numPr>
        <w:wordWrap/>
        <w:adjustRightInd/>
        <w:snapToGrid w:val="0"/>
        <w:spacing w:before="0"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水果制品</w:t>
      </w:r>
    </w:p>
    <w:p>
      <w:pPr>
        <w:widowControl w:val="0"/>
        <w:numPr>
          <w:ilvl w:val="0"/>
          <w:numId w:val="2"/>
        </w:numPr>
        <w:wordWrap/>
        <w:adjustRightInd/>
        <w:snapToGrid w:val="0"/>
        <w:spacing w:before="0"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抽检依据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 2762-2017《食品安全国家标准 食品中污染物限量》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；GB 2760-2014《食品安全国家标准 食品添加剂使用标准》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widowControl w:val="0"/>
        <w:wordWrap/>
        <w:adjustRightInd/>
        <w:snapToGrid w:val="0"/>
        <w:spacing w:before="0"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水果干制品（特价红枣）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检测项目包括铅（以Pb计）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、山梨酸及其钾盐（以山梨酸计）、糖精钠（以糖精计）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等。</w:t>
      </w:r>
    </w:p>
    <w:p>
      <w:pPr>
        <w:wordWrap/>
        <w:adjustRightInd/>
        <w:snapToGrid w:val="0"/>
        <w:spacing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</w:rPr>
        <w:t>食用农产品</w:t>
      </w:r>
    </w:p>
    <w:p>
      <w:pPr>
        <w:wordWrap/>
        <w:adjustRightInd/>
        <w:snapToGrid w:val="0"/>
        <w:spacing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before="0"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2763-201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食品安全国家标准 食品中农药最大残留限量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》；GB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31650-2019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；GB 22556-2008 《豆芽卫生标准》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；国家食品药品监督管理总局、农业部、国家卫生和计划生育委员会关于豆芽生产过程中禁止使用6-苄基腺嘌呤等物质的公告（2015年第11号）；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中华人民共和国农业部公告第 2292 号《发布在食品动物中停止使用洛美沙星、培氟沙星、氧氟沙星、诺氟沙星 4 种兽药的决定》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农业部公告第 560 号《兽药地方标准废止目录》；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GB 2760-2014《食品安全国家标准 食品添加剂使用标准》；GB 19300-2014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食品安全国家标准 坚果与籽类食品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》；GB 2761-2017《食品安全国家标准 食品中真菌毒素限量》；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农业农村部公告第250号《食品动物中禁止使用的药物及其他化合物清单》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；整顿办函〔2010〕50号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《食品中可能违法添加的非食用物质和易滥用的食品添加剂品种名单（第四批）》等。</w:t>
      </w:r>
    </w:p>
    <w:p>
      <w:pPr>
        <w:wordWrap/>
        <w:adjustRightInd/>
        <w:snapToGrid w:val="0"/>
        <w:spacing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wordWrap/>
        <w:adjustRightInd/>
        <w:snapToGrid w:val="0"/>
        <w:spacing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1.畜禽肉及其副产品检测项目包括地塞米松、恩诺沙星（恩诺沙星和环丙沙星之和）、磺胺类（总量）、金刚烷胺、克伦特罗、氯霉素，诺氟沙星、沙丁胺醇、沙拉沙星、氧氟沙星等。</w:t>
      </w:r>
    </w:p>
    <w:p>
      <w:pPr>
        <w:wordWrap/>
        <w:adjustRightInd/>
        <w:spacing w:after="0" w:line="360" w:lineRule="auto"/>
        <w:ind w:left="0" w:leftChars="0" w:right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水果类检测项目包括倍硫磷、苯醚甲环唑、吡唑醚菌酯、丙溴磷、敌百虫、敌敌畏、毒死蜱、多菌灵、氟氯氰菊酯和高效氟氯氰菊酯、甲胺磷、甲基对硫磷、甲基异柳磷、腈苯唑、克百威、联苯菊酯、硫环磷、氯氟氰菊酯和高效氯氟氰菊酯、氯氰菊酯和高效氯氰菊酯、氰戊菊酯和S-氰戊菊酯、三唑醇、水胺硫磷、涕灭威、烯酰吗啉、溴氰菊酯、氧乐果等。</w:t>
      </w:r>
    </w:p>
    <w:p>
      <w:pPr>
        <w:wordWrap/>
        <w:adjustRightInd/>
        <w:spacing w:after="0" w:line="360" w:lineRule="auto"/>
        <w:ind w:left="0" w:leftChars="0" w:right="0"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蔬菜检测项目包括4-氯苯氧乙酸钠（以4-氯苯氧乙酸计）、6-苄基腺嘌呤（6-BA）、阿维菌素、敌百虫、敌敌畏、啶虫脒、毒死蜱、氟虫腈、腐霉利、镉（以Cd计）、铬（以Cr计）、甲胺磷、甲拌磷、甲基异柳磷、克百威、联苯菊酯、氯氟氰菊酯和高效氯氟氰菊酯、氯氰菊酯和高效氯氰菊酯、灭多威、灭线磷、灭蝇胺、铅（以Pb计）、杀扑磷、水胺硫磷、涕灭威、溴氰菊酯、亚硫酸盐（以SO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计）、氧乐果、乙酰甲胺磷等。</w:t>
      </w:r>
    </w:p>
    <w:p>
      <w:pPr>
        <w:wordWrap/>
        <w:adjustRightInd/>
        <w:snapToGrid w:val="0"/>
        <w:spacing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4.鲜蛋检测项目包括氟苯尼考、恩诺沙星（以恩诺沙星与环丙沙星之和计）、氧氟沙星、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诺氟沙星、氟虫腈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</w:p>
    <w:p>
      <w:pPr>
        <w:wordWrap/>
        <w:adjustRightInd/>
        <w:snapToGrid w:val="0"/>
        <w:spacing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5.豆类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铅（以 Pb 计）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、铬（以Cr计）、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吡虫啉等。</w:t>
      </w:r>
    </w:p>
    <w:p>
      <w:pPr>
        <w:wordWrap/>
        <w:adjustRightInd/>
        <w:snapToGrid w:val="0"/>
        <w:spacing w:after="0" w:line="360" w:lineRule="auto"/>
        <w:ind w:left="0" w:leftChars="0" w:right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6.生干坚果与籽类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检测项目包括酸价（以脂肪计）、过氧化值（以脂肪计）、铅（以Pb计）、吡虫啉、螺螨酯、黄曲霉毒素B</w:t>
      </w:r>
      <w:r>
        <w:rPr>
          <w:rFonts w:hint="eastAsia" w:ascii="仿宋_GB2312" w:hAnsi="仿宋_GB2312" w:eastAsia="仿宋_GB2312" w:cs="仿宋_GB2312"/>
          <w:sz w:val="32"/>
          <w:szCs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ordWrap/>
        <w:adjustRightInd/>
        <w:snapToGrid w:val="0"/>
        <w:spacing w:after="0" w:line="240" w:lineRule="auto"/>
        <w:ind w:left="0" w:leftChars="0" w:right="0" w:firstLine="640" w:firstLineChars="200"/>
        <w:jc w:val="left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sz w:val="22"/>
          <w:szCs w:val="28"/>
        </w:rPr>
      </w:pPr>
    </w:p>
    <w:p>
      <w:pPr>
        <w:widowControl w:val="0"/>
        <w:numPr>
          <w:ilvl w:val="0"/>
          <w:numId w:val="0"/>
        </w:numPr>
        <w:jc w:val="both"/>
        <w:sectPr>
          <w:footerReference r:id="rId3" w:type="default"/>
          <w:pgSz w:w="11906" w:h="16838"/>
          <w:pgMar w:top="1723" w:right="1417" w:bottom="1440" w:left="147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28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t>1</w:t>
    </w:r>
    <w:r>
      <w:rPr>
        <w:rFonts w:hint="eastAsia"/>
        <w:lang w:eastAsia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D"/>
    <w:multiLevelType w:val="singleLevel"/>
    <w:tmpl w:val="0000000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11839"/>
    <w:rsid w:val="2FF1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2020-07-08T03:39:00Z</dcterms:created>
  <dc:creator>11:大梦</dc:creator>
  <cp:lastModifiedBy>11:大梦</cp:lastModifiedBy>
  <dcterms:modified xsi:type="dcterms:W3CDTF">2020-07-08T03:39:31Z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