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25"/>
        </w:tabs>
        <w:rPr>
          <w:rFonts w:ascii="Times New Roman" w:hAnsi="Times New Roman" w:eastAsia="黑体" w:cs="Times New Roman"/>
          <w:bCs/>
          <w:color w:val="000000" w:themeColor="text1"/>
          <w:sz w:val="72"/>
        </w:rPr>
      </w:pPr>
      <w:r>
        <w:rPr>
          <w:rFonts w:hint="eastAsia" w:ascii="Times New Roman" w:hAnsi="Times New Roman" w:eastAsia="黑体" w:cs="Times New Roman"/>
          <w:bCs/>
          <w:color w:val="000000" w:themeColor="text1"/>
          <w:sz w:val="72"/>
        </w:rPr>
        <w:t xml:space="preserve"> </w:t>
      </w:r>
    </w:p>
    <w:p>
      <w:pPr>
        <w:tabs>
          <w:tab w:val="left" w:pos="5625"/>
        </w:tabs>
        <w:rPr>
          <w:rFonts w:ascii="Times New Roman" w:hAnsi="Times New Roman" w:eastAsia="黑体" w:cs="Times New Roman"/>
          <w:bCs/>
          <w:color w:val="000000" w:themeColor="text1"/>
          <w:sz w:val="72"/>
        </w:rPr>
      </w:pPr>
    </w:p>
    <w:p>
      <w:pPr>
        <w:jc w:val="center"/>
        <w:rPr>
          <w:rFonts w:ascii="Times New Roman" w:hAnsi="Times New Roman" w:eastAsia="黑体" w:cs="Times New Roman"/>
          <w:bCs/>
          <w:color w:val="000000" w:themeColor="text1"/>
          <w:sz w:val="72"/>
        </w:rPr>
      </w:pPr>
      <w:r>
        <w:rPr>
          <w:rFonts w:ascii="Times New Roman" w:hAnsi="Times New Roman" w:eastAsia="黑体" w:cs="Times New Roman"/>
          <w:bCs/>
          <w:color w:val="000000" w:themeColor="text1"/>
          <w:sz w:val="72"/>
        </w:rPr>
        <w:t>建设项目环境影响报告表</w:t>
      </w:r>
    </w:p>
    <w:p>
      <w:pPr>
        <w:jc w:val="center"/>
        <w:outlineLvl w:val="0"/>
        <w:rPr>
          <w:rFonts w:ascii="Times New Roman" w:hAnsi="Times New Roman" w:eastAsia="黑体" w:cs="Times New Roman"/>
          <w:bCs/>
          <w:color w:val="000000" w:themeColor="text1"/>
          <w:sz w:val="32"/>
        </w:rPr>
      </w:pPr>
      <w:r>
        <w:rPr>
          <w:rFonts w:ascii="Times New Roman" w:hAnsi="Times New Roman" w:eastAsia="黑体" w:cs="Times New Roman"/>
          <w:bCs/>
          <w:color w:val="000000" w:themeColor="text1"/>
          <w:sz w:val="32"/>
        </w:rPr>
        <w:t>（</w:t>
      </w:r>
      <w:r>
        <w:rPr>
          <w:rFonts w:hint="eastAsia" w:ascii="Times New Roman" w:hAnsi="Times New Roman" w:eastAsia="黑体" w:cs="Times New Roman"/>
          <w:bCs/>
          <w:color w:val="000000" w:themeColor="text1"/>
          <w:sz w:val="32"/>
          <w:lang w:eastAsia="zh-CN"/>
        </w:rPr>
        <w:t>公示</w:t>
      </w:r>
      <w:r>
        <w:rPr>
          <w:rFonts w:ascii="Times New Roman" w:hAnsi="Times New Roman" w:eastAsia="黑体" w:cs="Times New Roman"/>
          <w:bCs/>
          <w:color w:val="000000" w:themeColor="text1"/>
          <w:sz w:val="32"/>
        </w:rPr>
        <w:t>本）</w:t>
      </w:r>
    </w:p>
    <w:p>
      <w:pPr>
        <w:rPr>
          <w:rFonts w:ascii="Times New Roman" w:hAnsi="Times New Roman" w:eastAsia="黑体" w:cs="Times New Roman"/>
          <w:bCs/>
          <w:color w:val="000000" w:themeColor="text1"/>
          <w:sz w:val="32"/>
        </w:rPr>
      </w:pPr>
    </w:p>
    <w:p>
      <w:pPr>
        <w:rPr>
          <w:rFonts w:ascii="Times New Roman" w:hAnsi="Times New Roman" w:eastAsia="黑体" w:cs="Times New Roman"/>
          <w:bCs/>
          <w:color w:val="000000" w:themeColor="text1"/>
          <w:sz w:val="32"/>
        </w:rPr>
      </w:pPr>
    </w:p>
    <w:p>
      <w:pPr>
        <w:rPr>
          <w:rFonts w:ascii="Times New Roman" w:hAnsi="Times New Roman" w:eastAsia="黑体" w:cs="Times New Roman"/>
          <w:bCs/>
          <w:color w:val="000000" w:themeColor="text1"/>
          <w:sz w:val="32"/>
        </w:rPr>
      </w:pPr>
    </w:p>
    <w:p>
      <w:pPr>
        <w:rPr>
          <w:rFonts w:ascii="Times New Roman" w:hAnsi="Times New Roman" w:eastAsia="黑体" w:cs="Times New Roman"/>
          <w:bCs/>
          <w:color w:val="000000" w:themeColor="text1"/>
          <w:sz w:val="32"/>
        </w:rPr>
      </w:pPr>
    </w:p>
    <w:p>
      <w:pPr>
        <w:rPr>
          <w:rFonts w:ascii="Times New Roman" w:hAnsi="Times New Roman" w:eastAsia="黑体" w:cs="Times New Roman"/>
          <w:bCs/>
          <w:color w:val="000000" w:themeColor="text1"/>
          <w:sz w:val="32"/>
        </w:rPr>
      </w:pPr>
    </w:p>
    <w:p>
      <w:pPr>
        <w:rPr>
          <w:rFonts w:ascii="Times New Roman" w:hAnsi="Times New Roman" w:eastAsia="黑体" w:cs="Times New Roman"/>
          <w:bCs/>
          <w:color w:val="000000" w:themeColor="text1"/>
          <w:sz w:val="32"/>
        </w:rPr>
      </w:pPr>
    </w:p>
    <w:p>
      <w:pPr>
        <w:spacing w:line="600" w:lineRule="exact"/>
        <w:ind w:firstLine="1124" w:firstLineChars="400"/>
        <w:rPr>
          <w:rFonts w:ascii="Times New Roman" w:hAnsi="Times New Roman" w:cs="Times New Roman"/>
          <w:b/>
          <w:kern w:val="0"/>
          <w:sz w:val="28"/>
          <w:szCs w:val="28"/>
          <w:u w:val="single"/>
        </w:rPr>
      </w:pPr>
      <w:r>
        <w:rPr>
          <w:rFonts w:ascii="Times New Roman" w:hAnsi="Times New Roman" w:cs="Times New Roman"/>
          <w:b/>
          <w:sz w:val="28"/>
          <w:szCs w:val="28"/>
        </w:rPr>
        <w:t>项目名称：</w:t>
      </w:r>
      <w:r>
        <w:rPr>
          <w:rFonts w:hint="eastAsia" w:ascii="Times New Roman" w:hAnsi="Times New Roman" w:cs="Times New Roman"/>
          <w:b/>
          <w:kern w:val="0"/>
          <w:sz w:val="28"/>
          <w:szCs w:val="28"/>
          <w:u w:val="single"/>
        </w:rPr>
        <w:t>鑫路通石料厂利用尾矿废石年产10万吨机制石料项目</w:t>
      </w:r>
    </w:p>
    <w:p>
      <w:pPr>
        <w:spacing w:line="600" w:lineRule="exact"/>
        <w:jc w:val="center"/>
        <w:rPr>
          <w:rFonts w:ascii="Times New Roman" w:hAnsi="Times New Roman" w:cs="Times New Roman"/>
          <w:b/>
          <w:spacing w:val="30"/>
          <w:sz w:val="28"/>
          <w:szCs w:val="28"/>
          <w:u w:val="single"/>
        </w:rPr>
      </w:pPr>
    </w:p>
    <w:p>
      <w:pPr>
        <w:ind w:firstLine="1124" w:firstLineChars="400"/>
        <w:rPr>
          <w:rFonts w:ascii="Times New Roman" w:hAnsi="Times New Roman" w:eastAsia="黑体" w:cs="Times New Roman"/>
          <w:bCs/>
          <w:color w:val="000000" w:themeColor="text1"/>
          <w:sz w:val="32"/>
          <w:szCs w:val="24"/>
        </w:rPr>
      </w:pPr>
      <w:r>
        <w:rPr>
          <w:rFonts w:ascii="Times New Roman" w:hAnsi="Times New Roman" w:cs="Times New Roman"/>
          <w:b/>
          <w:sz w:val="28"/>
          <w:szCs w:val="28"/>
        </w:rPr>
        <w:t>建设单位：</w:t>
      </w:r>
      <w:r>
        <w:rPr>
          <w:rFonts w:hint="eastAsia" w:ascii="Times New Roman" w:hAnsi="Times New Roman" w:cs="Times New Roman"/>
          <w:b/>
          <w:kern w:val="0"/>
          <w:sz w:val="28"/>
          <w:szCs w:val="28"/>
          <w:u w:val="single"/>
        </w:rPr>
        <w:t>代县鑫路通石料厂</w:t>
      </w:r>
    </w:p>
    <w:p>
      <w:pPr>
        <w:rPr>
          <w:rFonts w:ascii="Times New Roman" w:hAnsi="Times New Roman" w:eastAsia="黑体" w:cs="Times New Roman"/>
          <w:bCs/>
          <w:color w:val="000000" w:themeColor="text1"/>
          <w:sz w:val="32"/>
        </w:rPr>
      </w:pPr>
    </w:p>
    <w:p>
      <w:pPr>
        <w:rPr>
          <w:rFonts w:ascii="Times New Roman" w:hAnsi="Times New Roman" w:eastAsia="黑体" w:cs="Times New Roman"/>
          <w:bCs/>
          <w:color w:val="000000" w:themeColor="text1"/>
          <w:sz w:val="32"/>
        </w:rPr>
      </w:pPr>
    </w:p>
    <w:p>
      <w:pPr>
        <w:rPr>
          <w:rFonts w:ascii="Times New Roman" w:hAnsi="Times New Roman" w:eastAsia="黑体" w:cs="Times New Roman"/>
          <w:bCs/>
          <w:color w:val="000000" w:themeColor="text1"/>
          <w:sz w:val="32"/>
        </w:rPr>
      </w:pPr>
    </w:p>
    <w:p>
      <w:pPr>
        <w:rPr>
          <w:rFonts w:ascii="Times New Roman" w:hAnsi="Times New Roman" w:eastAsia="黑体" w:cs="Times New Roman"/>
          <w:bCs/>
          <w:color w:val="000000" w:themeColor="text1"/>
          <w:sz w:val="32"/>
        </w:rPr>
      </w:pPr>
    </w:p>
    <w:p>
      <w:pPr>
        <w:spacing w:after="156" w:afterLines="50"/>
        <w:jc w:val="center"/>
        <w:rPr>
          <w:rFonts w:ascii="Times New Roman" w:hAnsi="Times New Roman" w:eastAsia="黑体" w:cs="Times New Roman"/>
          <w:bCs/>
          <w:color w:val="000000" w:themeColor="text1"/>
          <w:sz w:val="32"/>
        </w:rPr>
      </w:pPr>
      <w:r>
        <w:rPr>
          <w:rFonts w:ascii="Times New Roman" w:hAnsi="Times New Roman" w:eastAsia="黑体" w:cs="Times New Roman"/>
          <w:bCs/>
          <w:color w:val="000000" w:themeColor="text1"/>
          <w:sz w:val="32"/>
        </w:rPr>
        <w:t>编制日期：202</w:t>
      </w:r>
      <w:r>
        <w:rPr>
          <w:rFonts w:hint="eastAsia" w:ascii="Times New Roman" w:hAnsi="Times New Roman" w:eastAsia="黑体" w:cs="Times New Roman"/>
          <w:bCs/>
          <w:color w:val="000000" w:themeColor="text1"/>
          <w:sz w:val="32"/>
          <w:lang w:val="en-US" w:eastAsia="zh-CN"/>
        </w:rPr>
        <w:t>1</w:t>
      </w:r>
      <w:r>
        <w:rPr>
          <w:rFonts w:ascii="Times New Roman" w:hAnsi="Times New Roman" w:eastAsia="黑体" w:cs="Times New Roman"/>
          <w:bCs/>
          <w:color w:val="000000" w:themeColor="text1"/>
          <w:sz w:val="32"/>
        </w:rPr>
        <w:t>年</w:t>
      </w:r>
      <w:r>
        <w:rPr>
          <w:rFonts w:hint="eastAsia" w:ascii="Times New Roman" w:hAnsi="Times New Roman" w:eastAsia="黑体" w:cs="Times New Roman"/>
          <w:bCs/>
          <w:color w:val="000000" w:themeColor="text1"/>
          <w:sz w:val="32"/>
          <w:lang w:val="en-US" w:eastAsia="zh-CN"/>
        </w:rPr>
        <w:t>1</w:t>
      </w:r>
      <w:r>
        <w:rPr>
          <w:rFonts w:ascii="Times New Roman" w:hAnsi="Times New Roman" w:eastAsia="黑体" w:cs="Times New Roman"/>
          <w:bCs/>
          <w:color w:val="000000" w:themeColor="text1"/>
          <w:sz w:val="32"/>
        </w:rPr>
        <w:t>月</w:t>
      </w:r>
    </w:p>
    <w:p>
      <w:pPr>
        <w:rPr>
          <w:rFonts w:ascii="Times New Roman" w:hAnsi="Times New Roman" w:eastAsia="宋体" w:cs="Times New Roman"/>
          <w:color w:val="000000" w:themeColor="text1"/>
          <w:sz w:val="24"/>
        </w:rPr>
      </w:pPr>
    </w:p>
    <w:p>
      <w:pPr>
        <w:widowControl/>
        <w:jc w:val="left"/>
        <w:rPr>
          <w:rFonts w:ascii="Times New Roman" w:hAnsi="Times New Roman" w:cs="Times New Roman"/>
          <w:color w:val="000000" w:themeColor="text1"/>
          <w:sz w:val="24"/>
        </w:rPr>
        <w:sectPr>
          <w:headerReference r:id="rId3" w:type="default"/>
          <w:footerReference r:id="rId4" w:type="default"/>
          <w:pgSz w:w="11906" w:h="16838"/>
          <w:pgMar w:top="1440" w:right="1418" w:bottom="1440" w:left="1418" w:header="851" w:footer="992" w:gutter="0"/>
          <w:cols w:space="720" w:num="1"/>
          <w:docGrid w:type="lines" w:linePitch="312" w:charSpace="0"/>
        </w:sectPr>
      </w:pPr>
    </w:p>
    <w:p>
      <w:pPr>
        <w:pStyle w:val="15"/>
        <w:spacing w:before="156"/>
        <w:ind w:left="0" w:leftChars="0" w:firstLine="0" w:firstLineChars="0"/>
        <w:jc w:val="center"/>
        <w:rPr>
          <w:rFonts w:eastAsia="宋体"/>
          <w:sz w:val="24"/>
          <w:szCs w:val="24"/>
        </w:rPr>
      </w:pPr>
      <w:r>
        <w:rPr>
          <w:rFonts w:eastAsia="宋体"/>
          <w:sz w:val="24"/>
          <w:szCs w:val="24"/>
        </w:rPr>
        <w:t>《</w:t>
      </w:r>
      <w:r>
        <w:rPr>
          <w:rFonts w:hint="eastAsia" w:eastAsia="宋体"/>
          <w:sz w:val="24"/>
          <w:szCs w:val="24"/>
        </w:rPr>
        <w:t>鑫路通石料厂利用尾矿废石年产10万吨机制石料项目</w:t>
      </w:r>
      <w:r>
        <w:rPr>
          <w:rFonts w:eastAsia="宋体"/>
          <w:sz w:val="24"/>
          <w:szCs w:val="24"/>
        </w:rPr>
        <w:t>环境影响报告表》</w:t>
      </w:r>
    </w:p>
    <w:p>
      <w:pPr>
        <w:pStyle w:val="15"/>
        <w:spacing w:before="156"/>
        <w:ind w:left="0" w:leftChars="0" w:firstLine="0" w:firstLineChars="0"/>
        <w:jc w:val="center"/>
        <w:rPr>
          <w:rFonts w:eastAsia="宋体"/>
          <w:kern w:val="0"/>
          <w:sz w:val="24"/>
          <w:szCs w:val="24"/>
        </w:rPr>
      </w:pPr>
      <w:r>
        <w:rPr>
          <w:rFonts w:eastAsia="宋体"/>
          <w:kern w:val="0"/>
          <w:sz w:val="24"/>
          <w:szCs w:val="24"/>
        </w:rPr>
        <w:t>修改说明</w:t>
      </w:r>
    </w:p>
    <w:tbl>
      <w:tblPr>
        <w:tblStyle w:val="41"/>
        <w:tblpPr w:leftFromText="180" w:rightFromText="180" w:vertAnchor="text" w:horzAnchor="page" w:tblpX="1567" w:tblpY="44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4498"/>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9" w:type="pct"/>
            <w:vAlign w:val="center"/>
          </w:tcPr>
          <w:p>
            <w:pPr>
              <w:keepLines/>
              <w:widowControl/>
              <w:jc w:val="center"/>
              <w:rPr>
                <w:rFonts w:ascii="Times New Roman" w:hAnsi="Times New Roman" w:eastAsia="宋体" w:cs="Times New Roman"/>
                <w:kern w:val="0"/>
                <w:szCs w:val="21"/>
              </w:rPr>
            </w:pPr>
            <w:r>
              <w:rPr>
                <w:rFonts w:ascii="Times New Roman" w:hAnsi="Times New Roman" w:cs="Times New Roman"/>
                <w:kern w:val="0"/>
                <w:szCs w:val="21"/>
              </w:rPr>
              <w:t>序号</w:t>
            </w:r>
          </w:p>
        </w:tc>
        <w:tc>
          <w:tcPr>
            <w:tcW w:w="2422" w:type="pct"/>
            <w:vAlign w:val="center"/>
          </w:tcPr>
          <w:p>
            <w:pPr>
              <w:keepLines/>
              <w:widowControl/>
              <w:jc w:val="center"/>
              <w:rPr>
                <w:rFonts w:ascii="Times New Roman" w:hAnsi="Times New Roman" w:eastAsia="宋体" w:cs="Times New Roman"/>
                <w:kern w:val="0"/>
                <w:szCs w:val="21"/>
              </w:rPr>
            </w:pPr>
            <w:r>
              <w:rPr>
                <w:rFonts w:ascii="Times New Roman" w:hAnsi="Times New Roman" w:cs="Times New Roman"/>
                <w:kern w:val="0"/>
                <w:szCs w:val="21"/>
              </w:rPr>
              <w:t>修改要求</w:t>
            </w:r>
          </w:p>
        </w:tc>
        <w:tc>
          <w:tcPr>
            <w:tcW w:w="2287" w:type="pct"/>
            <w:vAlign w:val="center"/>
          </w:tcPr>
          <w:p>
            <w:pPr>
              <w:keepLines/>
              <w:widowControl/>
              <w:jc w:val="center"/>
              <w:rPr>
                <w:rFonts w:ascii="Times New Roman" w:hAnsi="Times New Roman" w:eastAsia="宋体" w:cs="Times New Roman"/>
                <w:kern w:val="0"/>
                <w:szCs w:val="21"/>
              </w:rPr>
            </w:pPr>
            <w:r>
              <w:rPr>
                <w:rFonts w:ascii="Times New Roman" w:hAnsi="Times New Roman" w:cs="Times New Roman"/>
                <w:kern w:val="0"/>
                <w:szCs w:val="21"/>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keepLines/>
              <w:widowControl/>
              <w:jc w:val="center"/>
              <w:rPr>
                <w:rFonts w:ascii="Times New Roman" w:hAnsi="Times New Roman" w:eastAsia="宋体" w:cs="Times New Roman"/>
                <w:kern w:val="0"/>
                <w:szCs w:val="21"/>
              </w:rPr>
            </w:pPr>
            <w:r>
              <w:rPr>
                <w:rFonts w:ascii="Times New Roman" w:hAnsi="Times New Roman" w:cs="Times New Roman"/>
                <w:kern w:val="0"/>
                <w:szCs w:val="21"/>
              </w:rPr>
              <w:t>1</w:t>
            </w:r>
          </w:p>
        </w:tc>
        <w:tc>
          <w:tcPr>
            <w:tcW w:w="2422" w:type="pct"/>
            <w:vAlign w:val="center"/>
          </w:tcPr>
          <w:p>
            <w:pPr>
              <w:keepLines/>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本项目利用周围企业废石生产建筑石料，细化介绍废石供料单位的环保手续办理情况、生产规模、废石产生及处置情况等。说明负责运输的责任单位、原料来源的保证性。说清工程占地类型（土地利用现状图）。</w:t>
            </w:r>
          </w:p>
        </w:tc>
        <w:tc>
          <w:tcPr>
            <w:tcW w:w="2287" w:type="pct"/>
            <w:vAlign w:val="center"/>
          </w:tcPr>
          <w:p>
            <w:pPr>
              <w:keepLines/>
              <w:widowControl/>
              <w:ind w:firstLine="420" w:firstLineChars="200"/>
            </w:pPr>
            <w:r>
              <w:rPr>
                <w:rFonts w:hint="eastAsia"/>
              </w:rPr>
              <w:t>已核实废石供料单位的环保手续办理情况，见P6；已明确负责运输的责任单位和原料来源的保证性，见P6；工程占地类型为非耕地，见附件3。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keepLines/>
              <w:widowControl/>
              <w:jc w:val="center"/>
              <w:rPr>
                <w:rFonts w:ascii="Times New Roman" w:hAnsi="Times New Roman" w:eastAsia="宋体" w:cs="Times New Roman"/>
                <w:kern w:val="0"/>
                <w:szCs w:val="21"/>
              </w:rPr>
            </w:pPr>
            <w:r>
              <w:rPr>
                <w:rFonts w:ascii="Times New Roman" w:hAnsi="Times New Roman" w:cs="Times New Roman"/>
                <w:kern w:val="0"/>
                <w:szCs w:val="21"/>
              </w:rPr>
              <w:t>2</w:t>
            </w:r>
          </w:p>
        </w:tc>
        <w:tc>
          <w:tcPr>
            <w:tcW w:w="2422" w:type="pct"/>
            <w:vAlign w:val="center"/>
          </w:tcPr>
          <w:p>
            <w:pPr>
              <w:keepLines/>
              <w:widowControl/>
              <w:ind w:firstLine="420" w:firstLineChars="200"/>
              <w:rPr>
                <w:rFonts w:ascii="Times New Roman" w:hAnsi="Times New Roman" w:cs="Times New Roman"/>
                <w:szCs w:val="21"/>
              </w:rPr>
            </w:pPr>
            <w:r>
              <w:rPr>
                <w:rFonts w:hint="eastAsia" w:ascii="Times New Roman" w:hAnsi="Times New Roman" w:eastAsia="宋体" w:cs="Times New Roman"/>
                <w:szCs w:val="21"/>
              </w:rPr>
              <w:t>细化和完善项目主要建设内容。细化产品方案、给出产品执行的标准。完善设备清单，给出主要设备的型号，设计加工能力，分析与加工规模、产品方案的匹配性。合理确定原料、产品堆放场地的面积。完善及规范车间设备布置图及总平面布置图。</w:t>
            </w:r>
          </w:p>
        </w:tc>
        <w:tc>
          <w:tcPr>
            <w:tcW w:w="2287" w:type="pct"/>
            <w:vAlign w:val="center"/>
          </w:tcPr>
          <w:p>
            <w:pPr>
              <w:keepLines/>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已细化产品方案，产品执行标准，见P6；已完善设备清单，和主要设备型号及设计加工能力，以及产能匹配性，见P5；已核实原料、产品堆放的场地面积并完善了规范车间设备布置图和总平面布置图，见附图3和P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keepLines/>
              <w:widowControl/>
              <w:jc w:val="center"/>
              <w:rPr>
                <w:rFonts w:ascii="Times New Roman" w:hAnsi="Times New Roman" w:eastAsia="宋体" w:cs="Times New Roman"/>
                <w:kern w:val="0"/>
                <w:szCs w:val="21"/>
              </w:rPr>
            </w:pPr>
            <w:r>
              <w:rPr>
                <w:rFonts w:ascii="Times New Roman" w:hAnsi="Times New Roman" w:cs="Times New Roman"/>
                <w:kern w:val="0"/>
                <w:szCs w:val="21"/>
              </w:rPr>
              <w:t>3</w:t>
            </w:r>
          </w:p>
        </w:tc>
        <w:tc>
          <w:tcPr>
            <w:tcW w:w="2422" w:type="pct"/>
            <w:vAlign w:val="center"/>
          </w:tcPr>
          <w:p>
            <w:pPr>
              <w:keepLines/>
              <w:widowControl/>
              <w:ind w:firstLine="420" w:firstLineChars="200"/>
            </w:pPr>
            <w:r>
              <w:rPr>
                <w:rFonts w:hint="eastAsia"/>
              </w:rPr>
              <w:t>结合生产工艺和设备布置，细化原料储存、卸料、上料、输送、破碎、筛分各环节粉尘产生特点、产尘点数量，对应规定粉尘收集、治理措施。通过设备布置距离、分析及确定集尘罩、布袋除尘器的数量及技术参数（风量、过滤面积、过滤风速、布袋材质）、排气筒数量。</w:t>
            </w:r>
          </w:p>
          <w:p>
            <w:pPr>
              <w:keepLines/>
              <w:widowControl/>
              <w:ind w:firstLine="420" w:firstLineChars="200"/>
            </w:pPr>
            <w:r>
              <w:rPr>
                <w:rFonts w:hint="eastAsia"/>
              </w:rPr>
              <w:t>除尘器卸灰口应要求设软连接、接灰袋。给出配套喷雾洒水抑尘装置，给出设施类型、数量、安装位置。完善进厂及厂内道路、厂区、车间硬化方案。同时，应配套洒水车。</w:t>
            </w:r>
          </w:p>
          <w:p>
            <w:pPr>
              <w:pStyle w:val="3"/>
            </w:pPr>
            <w:r>
              <w:rPr>
                <w:rFonts w:hint="eastAsia"/>
              </w:rPr>
              <w:t>核实污染物排放情况（排放浓度、排放量）及总量申请指标，复核大气影响预测评价内容。</w:t>
            </w:r>
          </w:p>
        </w:tc>
        <w:tc>
          <w:tcPr>
            <w:tcW w:w="2287" w:type="pct"/>
            <w:vAlign w:val="center"/>
          </w:tcPr>
          <w:p>
            <w:pPr>
              <w:keepLines/>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已核实粉尘产尘点数量，并设置相应的集尘措施，集尘罩、布袋除尘器数量及技术参数、排气筒数量见P36；除尘器卸灰口要求见P36；喷雾类型、数量、安装位置已明确，见P36-37；已完善进厂及场内到、厂区、车间硬化方案，并要求配套洒水车，见P35和P36。已核实污染物排放情况及总量申请指标，已复核大气影响预测评价内容，见P36-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keepLines/>
              <w:widowControl/>
              <w:jc w:val="center"/>
              <w:rPr>
                <w:rFonts w:ascii="Times New Roman" w:hAnsi="Times New Roman" w:eastAsia="宋体" w:cs="Times New Roman"/>
                <w:kern w:val="0"/>
                <w:szCs w:val="21"/>
              </w:rPr>
            </w:pPr>
            <w:r>
              <w:rPr>
                <w:rFonts w:ascii="Times New Roman" w:hAnsi="Times New Roman" w:cs="Times New Roman"/>
                <w:kern w:val="0"/>
                <w:szCs w:val="21"/>
              </w:rPr>
              <w:t>4</w:t>
            </w:r>
          </w:p>
        </w:tc>
        <w:tc>
          <w:tcPr>
            <w:tcW w:w="2422" w:type="pct"/>
            <w:vAlign w:val="center"/>
          </w:tcPr>
          <w:p>
            <w:pPr>
              <w:keepLines/>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szCs w:val="21"/>
              </w:rPr>
              <w:t>核实噪声设备参数，根据项目特点，细化运输、生产过程声环境影响分析内容。</w:t>
            </w:r>
          </w:p>
        </w:tc>
        <w:tc>
          <w:tcPr>
            <w:tcW w:w="2287" w:type="pct"/>
            <w:vAlign w:val="center"/>
          </w:tcPr>
          <w:p>
            <w:pPr>
              <w:keepLines/>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已核实噪声设备参数，已细化运输、生产过程声环境影响分析内容，见P47、49。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keepLines/>
              <w:widowControl/>
              <w:jc w:val="center"/>
              <w:rPr>
                <w:rFonts w:ascii="Times New Roman" w:hAnsi="Times New Roman" w:eastAsia="宋体" w:cs="Times New Roman"/>
                <w:kern w:val="0"/>
                <w:szCs w:val="21"/>
              </w:rPr>
            </w:pPr>
            <w:r>
              <w:rPr>
                <w:rFonts w:ascii="Times New Roman" w:hAnsi="Times New Roman" w:cs="Times New Roman"/>
                <w:kern w:val="0"/>
                <w:szCs w:val="21"/>
              </w:rPr>
              <w:t>5</w:t>
            </w:r>
          </w:p>
        </w:tc>
        <w:tc>
          <w:tcPr>
            <w:tcW w:w="2422" w:type="pct"/>
            <w:vAlign w:val="center"/>
          </w:tcPr>
          <w:p>
            <w:pPr>
              <w:keepLines/>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szCs w:val="21"/>
              </w:rPr>
              <w:t>核实各类固废的产生情况，按照危废评价技术指南，细化危废收集、暂存及处置措施。</w:t>
            </w:r>
          </w:p>
        </w:tc>
        <w:tc>
          <w:tcPr>
            <w:tcW w:w="2287" w:type="pct"/>
            <w:vAlign w:val="center"/>
          </w:tcPr>
          <w:p>
            <w:pPr>
              <w:keepLines/>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已核实固废产生情况，见P49；已细化危废收集、暂存及处置措施，见P49、50。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keepLines/>
              <w:widowControl/>
              <w:jc w:val="center"/>
              <w:rPr>
                <w:rFonts w:ascii="Times New Roman" w:hAnsi="Times New Roman" w:cs="Times New Roman"/>
                <w:kern w:val="0"/>
                <w:szCs w:val="21"/>
              </w:rPr>
            </w:pPr>
            <w:r>
              <w:rPr>
                <w:rFonts w:hint="eastAsia" w:ascii="Times New Roman" w:hAnsi="Times New Roman" w:cs="Times New Roman"/>
                <w:kern w:val="0"/>
                <w:szCs w:val="21"/>
              </w:rPr>
              <w:t>6</w:t>
            </w:r>
          </w:p>
        </w:tc>
        <w:tc>
          <w:tcPr>
            <w:tcW w:w="2422" w:type="pct"/>
            <w:vAlign w:val="center"/>
          </w:tcPr>
          <w:p>
            <w:pPr>
              <w:keepLines/>
              <w:widowControl/>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完善环境保护目标。分析本项目与大气污染防治有关政策相符性分析，完善“三线一单”、生态功能区划的相符性。复核工程环保投资，完善建设项目污染物排放及管理清单。</w:t>
            </w:r>
          </w:p>
        </w:tc>
        <w:tc>
          <w:tcPr>
            <w:tcW w:w="2287" w:type="pct"/>
            <w:vAlign w:val="center"/>
          </w:tcPr>
          <w:p>
            <w:pPr>
              <w:keepLines/>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已完善环境保护目标，见P23；已分析本性项目已大气污染防治有关政策的相符性分析，见P3；已完善</w:t>
            </w:r>
            <w:r>
              <w:rPr>
                <w:rFonts w:hint="eastAsia" w:ascii="Times New Roman" w:hAnsi="Times New Roman" w:eastAsia="宋体" w:cs="Times New Roman"/>
                <w:szCs w:val="21"/>
              </w:rPr>
              <w:t>“三线一单”、生态功能区划的相符性，见P3、P18；已复核工程环保投资，见P10；已完善建设项目污染排放及管理清单，见P31、P58。</w:t>
            </w:r>
          </w:p>
        </w:tc>
      </w:tr>
    </w:tbl>
    <w:p>
      <w:pPr>
        <w:pStyle w:val="15"/>
        <w:spacing w:before="156"/>
        <w:sectPr>
          <w:footerReference r:id="rId5" w:type="default"/>
          <w:pgSz w:w="11906" w:h="16838"/>
          <w:pgMar w:top="1440" w:right="1418" w:bottom="1440" w:left="1418" w:header="851" w:footer="992" w:gutter="0"/>
          <w:cols w:space="425" w:num="1"/>
          <w:docGrid w:type="lines" w:linePitch="312" w:charSpace="0"/>
        </w:sectPr>
      </w:pPr>
    </w:p>
    <w:p>
      <w:pPr>
        <w:jc w:val="center"/>
        <w:rPr>
          <w:rFonts w:ascii="Times New Roman" w:hAnsi="Times New Roman" w:cs="Times New Roman"/>
          <w:color w:val="000000" w:themeColor="text1"/>
          <w:sz w:val="44"/>
        </w:rPr>
      </w:pPr>
      <w:r>
        <w:rPr>
          <w:rFonts w:ascii="Times New Roman" w:hAnsi="Times New Roman" w:cs="Times New Roman"/>
          <w:color w:val="000000" w:themeColor="text1"/>
          <w:sz w:val="44"/>
        </w:rPr>
        <w:t>《建设项目环境影响报告表》编制说明</w:t>
      </w:r>
    </w:p>
    <w:p>
      <w:pPr>
        <w:rPr>
          <w:rFonts w:ascii="Times New Roman" w:hAnsi="Times New Roman" w:cs="Times New Roman"/>
          <w:bCs/>
          <w:color w:val="000000" w:themeColor="text1"/>
          <w:sz w:val="32"/>
        </w:rPr>
      </w:pPr>
    </w:p>
    <w:p>
      <w:pPr>
        <w:spacing w:line="600" w:lineRule="exact"/>
        <w:ind w:firstLine="560" w:firstLineChars="200"/>
        <w:rPr>
          <w:rFonts w:ascii="Times New Roman" w:hAnsi="Times New Roman" w:cs="Times New Roman"/>
          <w:bCs/>
          <w:color w:val="000000" w:themeColor="text1"/>
          <w:sz w:val="28"/>
        </w:rPr>
      </w:pPr>
      <w:r>
        <w:rPr>
          <w:rFonts w:ascii="Times New Roman" w:hAnsi="Times New Roman" w:cs="Times New Roman"/>
          <w:bCs/>
          <w:color w:val="000000" w:themeColor="text1"/>
          <w:sz w:val="28"/>
        </w:rPr>
        <w:t>《建设项目环境影响报告表》由具有从事环境影响评价工作资质的单位编制。</w:t>
      </w:r>
    </w:p>
    <w:p>
      <w:pPr>
        <w:spacing w:line="600" w:lineRule="exact"/>
        <w:ind w:firstLine="560" w:firstLineChars="200"/>
        <w:rPr>
          <w:rFonts w:ascii="Times New Roman" w:hAnsi="Times New Roman" w:cs="Times New Roman"/>
          <w:bCs/>
          <w:color w:val="000000" w:themeColor="text1"/>
          <w:sz w:val="28"/>
        </w:rPr>
      </w:pPr>
      <w:r>
        <w:rPr>
          <w:rFonts w:ascii="Times New Roman" w:hAnsi="Times New Roman" w:cs="Times New Roman"/>
          <w:bCs/>
          <w:color w:val="000000" w:themeColor="text1"/>
          <w:sz w:val="28"/>
        </w:rPr>
        <w:t>1．项目名称——指项目立项批复时的名称，应不超过30个字（两个英文字段作一个汉字）。</w:t>
      </w:r>
    </w:p>
    <w:p>
      <w:pPr>
        <w:spacing w:line="600" w:lineRule="exact"/>
        <w:ind w:firstLine="560" w:firstLineChars="200"/>
        <w:rPr>
          <w:rFonts w:ascii="Times New Roman" w:hAnsi="Times New Roman" w:cs="Times New Roman"/>
          <w:bCs/>
          <w:color w:val="000000" w:themeColor="text1"/>
          <w:sz w:val="28"/>
        </w:rPr>
      </w:pPr>
      <w:r>
        <w:rPr>
          <w:rFonts w:ascii="Times New Roman" w:hAnsi="Times New Roman" w:cs="Times New Roman"/>
          <w:bCs/>
          <w:color w:val="000000" w:themeColor="text1"/>
          <w:sz w:val="28"/>
        </w:rPr>
        <w:t>2．建设地点——指项目所在地详细地址，公路、铁路应填写起止地点。</w:t>
      </w:r>
    </w:p>
    <w:p>
      <w:pPr>
        <w:spacing w:line="600" w:lineRule="exact"/>
        <w:ind w:firstLine="560" w:firstLineChars="200"/>
        <w:rPr>
          <w:rFonts w:ascii="Times New Roman" w:hAnsi="Times New Roman" w:cs="Times New Roman"/>
          <w:bCs/>
          <w:color w:val="000000" w:themeColor="text1"/>
          <w:sz w:val="28"/>
        </w:rPr>
      </w:pPr>
      <w:r>
        <w:rPr>
          <w:rFonts w:ascii="Times New Roman" w:hAnsi="Times New Roman" w:cs="Times New Roman"/>
          <w:bCs/>
          <w:color w:val="000000" w:themeColor="text1"/>
          <w:sz w:val="28"/>
        </w:rPr>
        <w:t>3．行业类别——按国标填写。</w:t>
      </w:r>
    </w:p>
    <w:p>
      <w:pPr>
        <w:spacing w:line="600" w:lineRule="exact"/>
        <w:ind w:firstLine="560" w:firstLineChars="200"/>
        <w:rPr>
          <w:rFonts w:ascii="Times New Roman" w:hAnsi="Times New Roman" w:cs="Times New Roman"/>
          <w:bCs/>
          <w:color w:val="000000" w:themeColor="text1"/>
          <w:sz w:val="28"/>
        </w:rPr>
      </w:pPr>
      <w:r>
        <w:rPr>
          <w:rFonts w:ascii="Times New Roman" w:hAnsi="Times New Roman" w:cs="Times New Roman"/>
          <w:bCs/>
          <w:color w:val="000000" w:themeColor="text1"/>
          <w:sz w:val="28"/>
        </w:rPr>
        <w:t>4．总投资——指项目投资总额。</w:t>
      </w:r>
    </w:p>
    <w:p>
      <w:pPr>
        <w:spacing w:line="600" w:lineRule="exact"/>
        <w:ind w:firstLine="560" w:firstLineChars="200"/>
        <w:rPr>
          <w:rFonts w:ascii="Times New Roman" w:hAnsi="Times New Roman" w:cs="Times New Roman"/>
          <w:bCs/>
          <w:color w:val="000000" w:themeColor="text1"/>
          <w:sz w:val="28"/>
        </w:rPr>
      </w:pPr>
      <w:r>
        <w:rPr>
          <w:rFonts w:ascii="Times New Roman" w:hAnsi="Times New Roman" w:cs="Times New Roman"/>
          <w:bCs/>
          <w:color w:val="000000" w:themeColor="text1"/>
          <w:sz w:val="28"/>
        </w:rPr>
        <w:t>5．主要环境保护目标——指项目区周围一定范围内集中居民住宅、学校、医院、保护文物、风景名胜区、水源地和生态敏感点等，应尽可能给出保护目标、性质、规模和距厂界距离等。</w:t>
      </w:r>
    </w:p>
    <w:p>
      <w:pPr>
        <w:spacing w:line="600" w:lineRule="exact"/>
        <w:ind w:firstLine="560" w:firstLineChars="200"/>
        <w:rPr>
          <w:rFonts w:ascii="Times New Roman" w:hAnsi="Times New Roman" w:cs="Times New Roman"/>
          <w:bCs/>
          <w:color w:val="000000" w:themeColor="text1"/>
          <w:sz w:val="28"/>
        </w:rPr>
      </w:pPr>
      <w:r>
        <w:rPr>
          <w:rFonts w:ascii="Times New Roman" w:hAnsi="Times New Roman" w:cs="Times New Roman"/>
          <w:bCs/>
          <w:color w:val="000000" w:themeColor="text1"/>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600" w:lineRule="exact"/>
        <w:ind w:firstLine="560" w:firstLineChars="200"/>
        <w:rPr>
          <w:rFonts w:ascii="Times New Roman" w:hAnsi="Times New Roman" w:cs="Times New Roman"/>
          <w:bCs/>
          <w:color w:val="000000" w:themeColor="text1"/>
          <w:sz w:val="28"/>
        </w:rPr>
      </w:pPr>
      <w:r>
        <w:rPr>
          <w:rFonts w:ascii="Times New Roman" w:hAnsi="Times New Roman" w:cs="Times New Roman"/>
          <w:bCs/>
          <w:color w:val="000000" w:themeColor="text1"/>
          <w:sz w:val="28"/>
        </w:rPr>
        <w:t>7．预审意见——由行业主管部门填写答复意见，无主管部门项目，可不填。</w:t>
      </w:r>
    </w:p>
    <w:p>
      <w:pPr>
        <w:spacing w:line="600" w:lineRule="exact"/>
        <w:ind w:firstLine="560" w:firstLineChars="200"/>
        <w:rPr>
          <w:rFonts w:ascii="Times New Roman" w:hAnsi="Times New Roman" w:cs="Times New Roman"/>
          <w:bCs/>
          <w:color w:val="000000" w:themeColor="text1"/>
          <w:sz w:val="28"/>
        </w:rPr>
        <w:sectPr>
          <w:footerReference r:id="rId6" w:type="default"/>
          <w:pgSz w:w="11906" w:h="16838"/>
          <w:pgMar w:top="1440" w:right="1418" w:bottom="1440" w:left="1418" w:header="851" w:footer="992" w:gutter="0"/>
          <w:pgNumType w:start="1"/>
          <w:cols w:space="425" w:num="1"/>
          <w:docGrid w:type="lines" w:linePitch="312" w:charSpace="0"/>
        </w:sectPr>
      </w:pPr>
      <w:r>
        <w:rPr>
          <w:rFonts w:ascii="Times New Roman" w:hAnsi="Times New Roman" w:cs="Times New Roman"/>
          <w:bCs/>
          <w:color w:val="000000" w:themeColor="text1"/>
          <w:sz w:val="28"/>
        </w:rPr>
        <w:t>8．审批意见——由负责审批该项目的环境保护行政主管部门批复。</w:t>
      </w:r>
    </w:p>
    <w:p>
      <w:pPr>
        <w:rPr>
          <w:rFonts w:ascii="Times New Roman" w:hAnsi="Times New Roman" w:eastAsia="黑体" w:cs="Times New Roman"/>
          <w:color w:val="000000" w:themeColor="text1"/>
          <w:sz w:val="32"/>
          <w:szCs w:val="32"/>
        </w:rPr>
      </w:pPr>
      <w:r>
        <w:rPr>
          <w:rFonts w:hint="eastAsia" w:ascii="Times New Roman" w:hAnsi="Times New Roman" w:eastAsia="黑体" w:cs="Times New Roman"/>
          <w:bCs/>
          <w:color w:val="000000" w:themeColor="text1"/>
          <w:sz w:val="32"/>
        </w:rPr>
        <w:t>一、</w:t>
      </w:r>
      <w:r>
        <w:rPr>
          <w:rFonts w:ascii="Times New Roman" w:hAnsi="Times New Roman" w:eastAsia="黑体" w:cs="Times New Roman"/>
          <w:bCs/>
          <w:color w:val="000000" w:themeColor="text1"/>
          <w:sz w:val="32"/>
        </w:rPr>
        <w:t>建设项目基本情况</w:t>
      </w:r>
    </w:p>
    <w:tbl>
      <w:tblPr>
        <w:tblStyle w:val="40"/>
        <w:tblW w:w="92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3" w:type="dxa"/>
          <w:bottom w:w="0" w:type="dxa"/>
          <w:right w:w="113" w:type="dxa"/>
        </w:tblCellMar>
      </w:tblPr>
      <w:tblGrid>
        <w:gridCol w:w="1521"/>
        <w:gridCol w:w="1108"/>
        <w:gridCol w:w="889"/>
        <w:gridCol w:w="899"/>
        <w:gridCol w:w="1293"/>
        <w:gridCol w:w="2434"/>
        <w:gridCol w:w="58"/>
        <w:gridCol w:w="10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476"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项目名称</w:t>
            </w:r>
          </w:p>
        </w:tc>
        <w:tc>
          <w:tcPr>
            <w:tcW w:w="7775" w:type="dxa"/>
            <w:gridSpan w:val="7"/>
            <w:tcBorders>
              <w:tl2br w:val="nil"/>
              <w:tr2bl w:val="nil"/>
            </w:tcBorders>
            <w:vAlign w:val="center"/>
          </w:tcPr>
          <w:p>
            <w:pPr>
              <w:jc w:val="center"/>
              <w:rPr>
                <w:rFonts w:ascii="Times New Roman" w:hAnsi="Times New Roman" w:cs="Times New Roman"/>
                <w:bCs/>
                <w:color w:val="000000" w:themeColor="text1"/>
                <w:sz w:val="24"/>
                <w:szCs w:val="24"/>
              </w:rPr>
            </w:pPr>
            <w:r>
              <w:rPr>
                <w:rFonts w:hint="eastAsia" w:ascii="Times New Roman" w:hAnsi="Times New Roman" w:cs="Times New Roman"/>
                <w:sz w:val="24"/>
                <w:szCs w:val="24"/>
              </w:rPr>
              <w:t>鑫路通石料厂利用尾矿废石年产10万吨机制石料项目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432"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建设单位</w:t>
            </w:r>
          </w:p>
        </w:tc>
        <w:tc>
          <w:tcPr>
            <w:tcW w:w="7775" w:type="dxa"/>
            <w:gridSpan w:val="7"/>
            <w:tcBorders>
              <w:tl2br w:val="nil"/>
              <w:tr2bl w:val="nil"/>
            </w:tcBorders>
            <w:vAlign w:val="center"/>
          </w:tcPr>
          <w:p>
            <w:pPr>
              <w:ind w:right="-113"/>
              <w:jc w:val="center"/>
              <w:rPr>
                <w:rFonts w:ascii="Times New Roman" w:hAnsi="Times New Roman" w:cs="Times New Roman"/>
                <w:color w:val="000000" w:themeColor="text1"/>
                <w:sz w:val="24"/>
                <w:szCs w:val="24"/>
              </w:rPr>
            </w:pPr>
            <w:r>
              <w:rPr>
                <w:rFonts w:hint="eastAsia" w:ascii="Times New Roman" w:hAnsi="Times New Roman" w:cs="Times New Roman"/>
                <w:sz w:val="24"/>
                <w:szCs w:val="24"/>
              </w:rPr>
              <w:t>代县鑫路通石料厂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396"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法人代表</w:t>
            </w:r>
          </w:p>
        </w:tc>
        <w:tc>
          <w:tcPr>
            <w:tcW w:w="2896" w:type="dxa"/>
            <w:gridSpan w:val="3"/>
            <w:tcBorders>
              <w:tl2br w:val="nil"/>
              <w:tr2bl w:val="nil"/>
            </w:tcBorders>
            <w:vAlign w:val="center"/>
          </w:tcPr>
          <w:p>
            <w:pPr>
              <w:jc w:val="center"/>
              <w:rPr>
                <w:rFonts w:ascii="Times New Roman" w:hAnsi="Times New Roman" w:cs="Times New Roman"/>
                <w:color w:val="000000" w:themeColor="text1"/>
                <w:sz w:val="24"/>
                <w:szCs w:val="24"/>
              </w:rPr>
            </w:pPr>
            <w:r>
              <w:rPr>
                <w:rFonts w:hint="eastAsia" w:ascii="Times New Roman" w:hAnsi="Times New Roman" w:cs="Times New Roman"/>
                <w:bCs/>
                <w:kern w:val="0"/>
                <w:sz w:val="24"/>
                <w:szCs w:val="24"/>
              </w:rPr>
              <w:t>李娟</w:t>
            </w:r>
          </w:p>
        </w:tc>
        <w:tc>
          <w:tcPr>
            <w:tcW w:w="1293"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联系人</w:t>
            </w:r>
          </w:p>
        </w:tc>
        <w:tc>
          <w:tcPr>
            <w:tcW w:w="3586" w:type="dxa"/>
            <w:gridSpan w:val="3"/>
            <w:tcBorders>
              <w:tl2br w:val="nil"/>
              <w:tr2bl w:val="nil"/>
            </w:tcBorders>
            <w:vAlign w:val="center"/>
          </w:tcPr>
          <w:p>
            <w:pPr>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李娟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382"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通讯地址</w:t>
            </w:r>
          </w:p>
        </w:tc>
        <w:tc>
          <w:tcPr>
            <w:tcW w:w="7775" w:type="dxa"/>
            <w:gridSpan w:val="7"/>
            <w:tcBorders>
              <w:tl2br w:val="nil"/>
              <w:tr2bl w:val="nil"/>
            </w:tcBorders>
            <w:vAlign w:val="center"/>
          </w:tcPr>
          <w:p>
            <w:pPr>
              <w:jc w:val="center"/>
            </w:pPr>
            <w:r>
              <w:rPr>
                <w:rFonts w:hint="eastAsia" w:ascii="Times New Roman" w:hAnsi="Times New Roman" w:cs="Times New Roman"/>
                <w:bCs/>
                <w:color w:val="000000" w:themeColor="text1"/>
                <w:sz w:val="24"/>
                <w:szCs w:val="24"/>
              </w:rPr>
              <w:t>山西省忻州市代县新高乡赵村神仙湾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420"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联系电话</w:t>
            </w:r>
          </w:p>
        </w:tc>
        <w:tc>
          <w:tcPr>
            <w:tcW w:w="1997" w:type="dxa"/>
            <w:gridSpan w:val="2"/>
            <w:tcBorders>
              <w:tl2br w:val="nil"/>
              <w:tr2bl w:val="nil"/>
            </w:tcBorders>
            <w:vAlign w:val="center"/>
          </w:tcPr>
          <w:p>
            <w:pPr>
              <w:jc w:val="center"/>
              <w:rPr>
                <w:rFonts w:hint="default" w:ascii="Times New Roman" w:hAnsi="Times New Roman" w:cs="Times New Roman" w:eastAsiaTheme="minorEastAsia"/>
                <w:bCs/>
                <w:color w:val="000000" w:themeColor="text1"/>
                <w:sz w:val="24"/>
                <w:szCs w:val="24"/>
                <w:lang w:val="en-US" w:eastAsia="zh-CN"/>
              </w:rPr>
            </w:pPr>
            <w:r>
              <w:rPr>
                <w:rFonts w:hint="eastAsia" w:ascii="Times New Roman" w:hAnsi="Times New Roman" w:cs="Times New Roman"/>
                <w:bCs/>
                <w:color w:val="000000" w:themeColor="text1"/>
                <w:sz w:val="24"/>
                <w:szCs w:val="24"/>
                <w:lang w:val="en-US" w:eastAsia="zh-CN"/>
              </w:rPr>
              <w:t>***</w:t>
            </w:r>
          </w:p>
        </w:tc>
        <w:tc>
          <w:tcPr>
            <w:tcW w:w="899"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传真</w:t>
            </w:r>
          </w:p>
        </w:tc>
        <w:tc>
          <w:tcPr>
            <w:tcW w:w="1293" w:type="dxa"/>
            <w:tcBorders>
              <w:tl2br w:val="nil"/>
              <w:tr2bl w:val="nil"/>
            </w:tcBorders>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92" w:type="dxa"/>
            <w:gridSpan w:val="2"/>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邮政编码</w:t>
            </w:r>
          </w:p>
        </w:tc>
        <w:tc>
          <w:tcPr>
            <w:tcW w:w="1094" w:type="dxa"/>
            <w:tcBorders>
              <w:tl2br w:val="nil"/>
              <w:tr2bl w:val="nil"/>
            </w:tcBorders>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Pr>
                <w:rFonts w:hint="eastAsia" w:ascii="Times New Roman" w:hAnsi="Times New Roman" w:cs="Times New Roman"/>
                <w:color w:val="000000" w:themeColor="text1"/>
                <w:sz w:val="24"/>
                <w:szCs w:val="24"/>
              </w:rPr>
              <w:t>34200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618"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建设地点</w:t>
            </w:r>
          </w:p>
        </w:tc>
        <w:tc>
          <w:tcPr>
            <w:tcW w:w="7775" w:type="dxa"/>
            <w:gridSpan w:val="7"/>
            <w:tcBorders>
              <w:tl2br w:val="nil"/>
              <w:tr2bl w:val="nil"/>
            </w:tcBorders>
            <w:vAlign w:val="center"/>
          </w:tcPr>
          <w:p>
            <w:pPr>
              <w:jc w:val="center"/>
              <w:rPr>
                <w:rFonts w:hint="default" w:ascii="Times New Roman" w:hAnsi="Times New Roman" w:eastAsia="宋体" w:cs="Times New Roman"/>
                <w:color w:val="000000" w:themeColor="text1"/>
                <w:sz w:val="24"/>
                <w:szCs w:val="24"/>
                <w:lang w:val="en-US" w:eastAsia="zh-CN"/>
              </w:rPr>
            </w:pPr>
            <w:r>
              <w:rPr>
                <w:rFonts w:hint="eastAsia" w:ascii="Times New Roman" w:hAnsi="Times New Roman" w:cs="Times New Roman"/>
                <w:kern w:val="0"/>
                <w:sz w:val="24"/>
                <w:szCs w:val="24"/>
              </w:rPr>
              <w:t>山西省忻州市代县新高乡周流村东南</w:t>
            </w:r>
            <w:r>
              <w:rPr>
                <w:rFonts w:hint="eastAsia" w:ascii="Times New Roman" w:hAnsi="Times New Roman" w:cs="Times New Roman"/>
                <w:kern w:val="0"/>
                <w:sz w:val="24"/>
                <w:szCs w:val="24"/>
                <w:lang w:val="en-US" w:eastAsia="zh-CN"/>
              </w:rPr>
              <w:t>983m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916"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立项审批部门</w:t>
            </w:r>
          </w:p>
        </w:tc>
        <w:tc>
          <w:tcPr>
            <w:tcW w:w="2896" w:type="dxa"/>
            <w:gridSpan w:val="3"/>
            <w:tcBorders>
              <w:tl2br w:val="nil"/>
              <w:tr2bl w:val="nil"/>
            </w:tcBorders>
            <w:tcMar>
              <w:top w:w="0" w:type="dxa"/>
              <w:left w:w="57" w:type="dxa"/>
              <w:bottom w:w="0" w:type="dxa"/>
              <w:right w:w="113" w:type="dxa"/>
            </w:tcMar>
            <w:vAlign w:val="center"/>
          </w:tcPr>
          <w:p>
            <w:pPr>
              <w:jc w:val="center"/>
              <w:rPr>
                <w:rFonts w:ascii="Times New Roman" w:hAnsi="Times New Roman" w:cs="Times New Roman"/>
                <w:color w:val="000000" w:themeColor="text1"/>
                <w:sz w:val="24"/>
                <w:szCs w:val="24"/>
              </w:rPr>
            </w:pPr>
            <w:r>
              <w:rPr>
                <w:rFonts w:ascii="Times New Roman" w:hAnsi="Times New Roman" w:cs="Times New Roman"/>
                <w:kern w:val="0"/>
                <w:sz w:val="24"/>
                <w:szCs w:val="24"/>
              </w:rPr>
              <w:t>代县</w:t>
            </w:r>
            <w:r>
              <w:rPr>
                <w:rFonts w:hint="eastAsia" w:ascii="Times New Roman" w:hAnsi="Times New Roman" w:cs="Times New Roman"/>
                <w:kern w:val="0"/>
                <w:sz w:val="24"/>
                <w:szCs w:val="24"/>
                <w:lang w:eastAsia="zh-CN"/>
              </w:rPr>
              <w:t>行政</w:t>
            </w:r>
            <w:r>
              <w:rPr>
                <w:rFonts w:hint="eastAsia" w:ascii="Times New Roman" w:hAnsi="Times New Roman" w:cs="Times New Roman"/>
                <w:kern w:val="0"/>
                <w:sz w:val="24"/>
                <w:szCs w:val="24"/>
              </w:rPr>
              <w:t>审批</w:t>
            </w:r>
            <w:r>
              <w:rPr>
                <w:rFonts w:hint="eastAsia" w:ascii="Times New Roman" w:hAnsi="Times New Roman" w:cs="Times New Roman"/>
                <w:kern w:val="0"/>
                <w:sz w:val="24"/>
                <w:szCs w:val="24"/>
                <w:lang w:eastAsia="zh-CN"/>
              </w:rPr>
              <w:t>服务管理</w:t>
            </w:r>
            <w:r>
              <w:rPr>
                <w:rFonts w:ascii="Times New Roman" w:hAnsi="Times New Roman" w:cs="Times New Roman"/>
                <w:kern w:val="0"/>
                <w:sz w:val="24"/>
                <w:szCs w:val="24"/>
              </w:rPr>
              <w:t>局</w:t>
            </w:r>
          </w:p>
        </w:tc>
        <w:tc>
          <w:tcPr>
            <w:tcW w:w="1293" w:type="dxa"/>
            <w:tcBorders>
              <w:tl2br w:val="nil"/>
              <w:tr2bl w:val="nil"/>
            </w:tcBorders>
            <w:tcMar>
              <w:top w:w="0" w:type="dxa"/>
              <w:left w:w="28" w:type="dxa"/>
              <w:bottom w:w="0" w:type="dxa"/>
              <w:right w:w="28" w:type="dxa"/>
            </w:tcMar>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项目编码</w:t>
            </w:r>
          </w:p>
        </w:tc>
        <w:tc>
          <w:tcPr>
            <w:tcW w:w="3586" w:type="dxa"/>
            <w:gridSpan w:val="3"/>
            <w:tcBorders>
              <w:tl2br w:val="nil"/>
              <w:tr2bl w:val="nil"/>
            </w:tcBorders>
            <w:tcMar>
              <w:top w:w="0" w:type="dxa"/>
              <w:left w:w="0" w:type="dxa"/>
              <w:bottom w:w="0" w:type="dxa"/>
              <w:right w:w="0" w:type="dxa"/>
            </w:tcMar>
            <w:vAlign w:val="center"/>
          </w:tcPr>
          <w:p>
            <w:pPr>
              <w:jc w:val="center"/>
              <w:rPr>
                <w:rFonts w:ascii="Times New Roman" w:hAnsi="Times New Roman" w:cs="Times New Roman"/>
                <w:bCs/>
                <w:color w:val="000000" w:themeColor="text1"/>
                <w:sz w:val="24"/>
                <w:szCs w:val="24"/>
              </w:rPr>
            </w:pPr>
            <w:r>
              <w:rPr>
                <w:rFonts w:hint="eastAsia" w:ascii="Times New Roman" w:hAnsi="Times New Roman" w:cs="Times New Roman"/>
                <w:kern w:val="0"/>
                <w:sz w:val="24"/>
                <w:szCs w:val="24"/>
              </w:rPr>
              <w:t>2020-140923-42-03-018633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550"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建设性质</w:t>
            </w:r>
          </w:p>
        </w:tc>
        <w:tc>
          <w:tcPr>
            <w:tcW w:w="2896" w:type="dxa"/>
            <w:gridSpan w:val="3"/>
            <w:tcBorders>
              <w:tl2br w:val="nil"/>
              <w:tr2bl w:val="nil"/>
            </w:tcBorders>
            <w:vAlign w:val="center"/>
          </w:tcPr>
          <w:p>
            <w:pPr>
              <w:ind w:firstLine="240" w:firstLineChars="100"/>
              <w:jc w:val="center"/>
              <w:rPr>
                <w:rFonts w:ascii="Times New Roman" w:hAnsi="Times New Roman" w:cs="Times New Roman"/>
                <w:color w:val="000000" w:themeColor="text1"/>
                <w:sz w:val="24"/>
                <w:szCs w:val="24"/>
              </w:rPr>
            </w:pPr>
            <w:r>
              <w:rPr>
                <w:rFonts w:ascii="Times New Roman" w:hAnsi="Times New Roman" w:cs="Times New Roman"/>
                <w:bCs/>
                <w:kern w:val="0"/>
                <w:sz w:val="24"/>
                <w:szCs w:val="24"/>
              </w:rPr>
              <w:t>新建√  改扩建  技改</w:t>
            </w:r>
          </w:p>
        </w:tc>
        <w:tc>
          <w:tcPr>
            <w:tcW w:w="1293" w:type="dxa"/>
            <w:tcBorders>
              <w:tl2br w:val="nil"/>
              <w:tr2bl w:val="nil"/>
            </w:tcBorders>
            <w:tcMar>
              <w:top w:w="0" w:type="dxa"/>
              <w:left w:w="0" w:type="dxa"/>
              <w:bottom w:w="0" w:type="dxa"/>
              <w:right w:w="0" w:type="dxa"/>
            </w:tcMar>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行业类别</w:t>
            </w:r>
          </w:p>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及代码</w:t>
            </w:r>
          </w:p>
        </w:tc>
        <w:tc>
          <w:tcPr>
            <w:tcW w:w="3586" w:type="dxa"/>
            <w:gridSpan w:val="3"/>
            <w:tcBorders>
              <w:tl2br w:val="nil"/>
              <w:tr2bl w:val="nil"/>
            </w:tcBorders>
            <w:vAlign w:val="center"/>
          </w:tcPr>
          <w:p>
            <w:pPr>
              <w:jc w:val="center"/>
              <w:rPr>
                <w:rFonts w:ascii="Times New Roman" w:hAnsi="Times New Roman" w:cs="Times New Roman"/>
                <w:color w:val="000000" w:themeColor="text1"/>
                <w:sz w:val="24"/>
                <w:szCs w:val="24"/>
              </w:rPr>
            </w:pPr>
            <w:r>
              <w:rPr>
                <w:rFonts w:hint="eastAsia" w:ascii="Times New Roman" w:hAnsi="Times New Roman" w:cs="Times New Roman"/>
                <w:bCs/>
                <w:kern w:val="0"/>
                <w:sz w:val="24"/>
                <w:szCs w:val="24"/>
              </w:rPr>
              <w:t>C</w:t>
            </w:r>
            <w:r>
              <w:rPr>
                <w:rFonts w:ascii="Times New Roman" w:hAnsi="Times New Roman" w:cs="Times New Roman"/>
                <w:bCs/>
                <w:kern w:val="0"/>
                <w:sz w:val="24"/>
                <w:szCs w:val="24"/>
              </w:rPr>
              <w:t>3099</w:t>
            </w:r>
            <w:r>
              <w:rPr>
                <w:rFonts w:hint="eastAsia" w:ascii="Times New Roman" w:hAnsi="Times New Roman" w:cs="Times New Roman"/>
                <w:bCs/>
                <w:kern w:val="0"/>
                <w:sz w:val="24"/>
                <w:szCs w:val="24"/>
              </w:rPr>
              <w:t>其他非金属矿物制品制造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737"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占地面积</w:t>
            </w:r>
          </w:p>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（平方米）</w:t>
            </w:r>
          </w:p>
        </w:tc>
        <w:tc>
          <w:tcPr>
            <w:tcW w:w="2896" w:type="dxa"/>
            <w:gridSpan w:val="3"/>
            <w:tcBorders>
              <w:tl2br w:val="nil"/>
              <w:tr2bl w:val="nil"/>
            </w:tcBorders>
            <w:vAlign w:val="center"/>
          </w:tcPr>
          <w:p>
            <w:pPr>
              <w:jc w:val="center"/>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5927</w:t>
            </w:r>
          </w:p>
        </w:tc>
        <w:tc>
          <w:tcPr>
            <w:tcW w:w="1293" w:type="dxa"/>
            <w:tcBorders>
              <w:tl2br w:val="nil"/>
              <w:tr2bl w:val="nil"/>
            </w:tcBorders>
            <w:tcMar>
              <w:top w:w="0" w:type="dxa"/>
              <w:left w:w="0" w:type="dxa"/>
              <w:bottom w:w="0" w:type="dxa"/>
              <w:right w:w="0" w:type="dxa"/>
            </w:tcMar>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绿化面积</w:t>
            </w:r>
          </w:p>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（平方米）</w:t>
            </w:r>
          </w:p>
        </w:tc>
        <w:tc>
          <w:tcPr>
            <w:tcW w:w="3586" w:type="dxa"/>
            <w:gridSpan w:val="3"/>
            <w:tcBorders>
              <w:tl2br w:val="nil"/>
              <w:tr2bl w:val="nil"/>
            </w:tcBorders>
            <w:vAlign w:val="center"/>
          </w:tcPr>
          <w:p>
            <w:pPr>
              <w:jc w:val="center"/>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737"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总投资</w:t>
            </w:r>
          </w:p>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（万元）</w:t>
            </w:r>
          </w:p>
        </w:tc>
        <w:tc>
          <w:tcPr>
            <w:tcW w:w="1108" w:type="dxa"/>
            <w:tcBorders>
              <w:tl2br w:val="nil"/>
              <w:tr2bl w:val="nil"/>
            </w:tcBorders>
            <w:vAlign w:val="center"/>
          </w:tcPr>
          <w:p>
            <w:pPr>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150</w:t>
            </w:r>
          </w:p>
        </w:tc>
        <w:tc>
          <w:tcPr>
            <w:tcW w:w="1788" w:type="dxa"/>
            <w:gridSpan w:val="2"/>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其中：环保投资</w:t>
            </w:r>
          </w:p>
          <w:p>
            <w:pPr>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（万元）</w:t>
            </w:r>
          </w:p>
        </w:tc>
        <w:tc>
          <w:tcPr>
            <w:tcW w:w="1293" w:type="dxa"/>
            <w:tcBorders>
              <w:tl2br w:val="nil"/>
              <w:tr2bl w:val="nil"/>
            </w:tcBorders>
            <w:vAlign w:val="center"/>
          </w:tcPr>
          <w:p>
            <w:pPr>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30</w:t>
            </w:r>
          </w:p>
        </w:tc>
        <w:tc>
          <w:tcPr>
            <w:tcW w:w="2434" w:type="dxa"/>
            <w:tcBorders>
              <w:tl2br w:val="nil"/>
              <w:tr2bl w:val="nil"/>
            </w:tcBorders>
            <w:tcMar>
              <w:top w:w="0" w:type="dxa"/>
              <w:left w:w="0" w:type="dxa"/>
              <w:bottom w:w="0" w:type="dxa"/>
              <w:right w:w="0" w:type="dxa"/>
            </w:tcMar>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环保投资占总投资比例</w:t>
            </w:r>
          </w:p>
        </w:tc>
        <w:tc>
          <w:tcPr>
            <w:tcW w:w="1152" w:type="dxa"/>
            <w:gridSpan w:val="2"/>
            <w:tcBorders>
              <w:tl2br w:val="nil"/>
              <w:tr2bl w:val="nil"/>
            </w:tcBorders>
            <w:tcMar>
              <w:top w:w="0" w:type="dxa"/>
              <w:left w:w="0" w:type="dxa"/>
              <w:bottom w:w="0" w:type="dxa"/>
              <w:right w:w="0" w:type="dxa"/>
            </w:tcMar>
            <w:vAlign w:val="center"/>
          </w:tcPr>
          <w:p>
            <w:pPr>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737" w:hRule="atLeast"/>
          <w:jc w:val="center"/>
        </w:trPr>
        <w:tc>
          <w:tcPr>
            <w:tcW w:w="1521" w:type="dxa"/>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评价经费</w:t>
            </w:r>
          </w:p>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（万元）</w:t>
            </w:r>
          </w:p>
        </w:tc>
        <w:tc>
          <w:tcPr>
            <w:tcW w:w="1108" w:type="dxa"/>
            <w:tcBorders>
              <w:tl2br w:val="nil"/>
              <w:tr2bl w:val="nil"/>
            </w:tcBorders>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88" w:type="dxa"/>
            <w:gridSpan w:val="2"/>
            <w:tcBorders>
              <w:tl2br w:val="nil"/>
              <w:tr2bl w:val="nil"/>
            </w:tcBorders>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预期投产日期</w:t>
            </w:r>
          </w:p>
        </w:tc>
        <w:tc>
          <w:tcPr>
            <w:tcW w:w="4879" w:type="dxa"/>
            <w:gridSpan w:val="4"/>
            <w:tcBorders>
              <w:tl2br w:val="nil"/>
              <w:tr2bl w:val="nil"/>
            </w:tcBorders>
            <w:vAlign w:val="center"/>
          </w:tcPr>
          <w:p>
            <w:pPr>
              <w:jc w:val="center"/>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2021.1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13" w:type="dxa"/>
            <w:bottom w:w="0" w:type="dxa"/>
            <w:right w:w="113" w:type="dxa"/>
          </w:tblCellMar>
        </w:tblPrEx>
        <w:trPr>
          <w:trHeight w:val="90" w:hRule="atLeast"/>
          <w:jc w:val="center"/>
        </w:trPr>
        <w:tc>
          <w:tcPr>
            <w:tcW w:w="9296" w:type="dxa"/>
            <w:gridSpan w:val="8"/>
            <w:tcBorders>
              <w:tl2br w:val="nil"/>
              <w:tr2bl w:val="nil"/>
            </w:tcBorders>
            <w:vAlign w:val="center"/>
          </w:tcPr>
          <w:p>
            <w:pPr>
              <w:adjustRightInd w:val="0"/>
              <w:snapToGrid w:val="0"/>
              <w:spacing w:line="500" w:lineRule="exact"/>
              <w:rPr>
                <w:rFonts w:ascii="Times New Roman" w:hAnsi="Times New Roman" w:cs="Times New Roman"/>
                <w:b/>
                <w:sz w:val="28"/>
                <w:szCs w:val="28"/>
              </w:rPr>
            </w:pPr>
            <w:r>
              <w:rPr>
                <w:rFonts w:hint="eastAsia" w:ascii="Times New Roman" w:hAnsi="Times New Roman" w:cs="Times New Roman"/>
                <w:b/>
                <w:sz w:val="28"/>
                <w:szCs w:val="28"/>
              </w:rPr>
              <w:t>1.1</w:t>
            </w:r>
            <w:r>
              <w:rPr>
                <w:rFonts w:ascii="Times New Roman" w:hAnsi="Times New Roman" w:cs="Times New Roman"/>
                <w:b/>
                <w:sz w:val="28"/>
                <w:szCs w:val="28"/>
              </w:rPr>
              <w:t>工程内容及规模：</w:t>
            </w:r>
          </w:p>
          <w:p>
            <w:pPr>
              <w:adjustRightInd w:val="0"/>
              <w:snapToGrid w:val="0"/>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一、项目背景及任务由来</w:t>
            </w:r>
          </w:p>
          <w:p>
            <w:pPr>
              <w:spacing w:line="500" w:lineRule="exact"/>
              <w:ind w:firstLine="482" w:firstLineChars="200"/>
              <w:rPr>
                <w:rFonts w:ascii="Times New Roman" w:hAnsi="Times New Roman" w:cs="Times New Roman"/>
                <w:b/>
                <w:szCs w:val="21"/>
              </w:rPr>
            </w:pPr>
            <w:r>
              <w:rPr>
                <w:rFonts w:ascii="Times New Roman" w:hAnsi="Times New Roman" w:cs="Times New Roman"/>
                <w:b/>
                <w:sz w:val="24"/>
                <w:szCs w:val="24"/>
              </w:rPr>
              <w:t>1</w:t>
            </w:r>
            <w:r>
              <w:rPr>
                <w:rFonts w:hint="eastAsia" w:ascii="Times New Roman" w:hAnsi="Times New Roman" w:cs="Times New Roman"/>
                <w:b/>
                <w:sz w:val="24"/>
                <w:szCs w:val="24"/>
              </w:rPr>
              <w:t>、</w:t>
            </w:r>
            <w:r>
              <w:rPr>
                <w:rFonts w:ascii="Times New Roman" w:hAnsi="Times New Roman" w:cs="Times New Roman"/>
                <w:b/>
                <w:sz w:val="24"/>
                <w:szCs w:val="24"/>
              </w:rPr>
              <w:t>项目背景</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鑫路通石料厂利用尾矿废石年产10万吨机制石料项目</w:t>
            </w:r>
            <w:r>
              <w:rPr>
                <w:rFonts w:ascii="Times New Roman" w:hAnsi="Times New Roman" w:cs="Times New Roman"/>
                <w:sz w:val="24"/>
                <w:szCs w:val="24"/>
              </w:rPr>
              <w:t>，拟投资</w:t>
            </w:r>
            <w:r>
              <w:rPr>
                <w:rFonts w:hint="eastAsia" w:ascii="Times New Roman" w:hAnsi="Times New Roman" w:cs="Times New Roman"/>
                <w:sz w:val="24"/>
                <w:szCs w:val="24"/>
              </w:rPr>
              <w:t>150</w:t>
            </w:r>
            <w:r>
              <w:rPr>
                <w:rFonts w:ascii="Times New Roman" w:hAnsi="Times New Roman" w:cs="Times New Roman"/>
                <w:sz w:val="24"/>
                <w:szCs w:val="24"/>
              </w:rPr>
              <w:t>万元，</w:t>
            </w:r>
            <w:r>
              <w:rPr>
                <w:rFonts w:hint="eastAsia" w:ascii="Times New Roman" w:hAnsi="Times New Roman" w:cs="Times New Roman"/>
                <w:sz w:val="24"/>
                <w:szCs w:val="24"/>
              </w:rPr>
              <w:t>租赁代县新高乡张村闲置工业用地</w:t>
            </w:r>
            <w:r>
              <w:rPr>
                <w:rFonts w:ascii="Times New Roman" w:hAnsi="Times New Roman" w:cs="Times New Roman"/>
                <w:sz w:val="24"/>
                <w:szCs w:val="24"/>
              </w:rPr>
              <w:t>进行生产，项目不新增占地。代县</w:t>
            </w:r>
            <w:r>
              <w:rPr>
                <w:rFonts w:hint="eastAsia" w:ascii="Times New Roman" w:hAnsi="Times New Roman" w:cs="Times New Roman"/>
                <w:sz w:val="24"/>
                <w:szCs w:val="24"/>
              </w:rPr>
              <w:t>审批局</w:t>
            </w:r>
            <w:r>
              <w:rPr>
                <w:rFonts w:ascii="Times New Roman" w:hAnsi="Times New Roman" w:cs="Times New Roman"/>
                <w:sz w:val="24"/>
                <w:szCs w:val="24"/>
              </w:rPr>
              <w:t>对该项目予以备案，见附件2。</w:t>
            </w:r>
          </w:p>
          <w:p>
            <w:pPr>
              <w:pStyle w:val="2"/>
              <w:spacing w:line="500" w:lineRule="exact"/>
              <w:ind w:firstLine="482" w:firstLineChars="200"/>
              <w:jc w:val="both"/>
              <w:rPr>
                <w:rFonts w:ascii="Times New Roman" w:cs="Times New Roman" w:eastAsiaTheme="minorEastAsia"/>
                <w:b/>
                <w:color w:val="auto"/>
              </w:rPr>
            </w:pPr>
            <w:r>
              <w:rPr>
                <w:rFonts w:ascii="Times New Roman" w:cs="Times New Roman" w:eastAsiaTheme="minorEastAsia"/>
                <w:b/>
                <w:color w:val="auto"/>
              </w:rPr>
              <w:t>2</w:t>
            </w:r>
            <w:r>
              <w:rPr>
                <w:rFonts w:hint="eastAsia" w:ascii="Times New Roman" w:cs="Times New Roman" w:eastAsiaTheme="minorEastAsia"/>
                <w:b/>
                <w:color w:val="auto"/>
              </w:rPr>
              <w:t>、</w:t>
            </w:r>
            <w:r>
              <w:rPr>
                <w:rFonts w:ascii="Times New Roman" w:cs="Times New Roman" w:eastAsiaTheme="minorEastAsia"/>
                <w:b/>
                <w:color w:val="auto"/>
              </w:rPr>
              <w:t>任务由来</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根据《中华人民共和国环境保护法》、《中华人民共和国环境影响评价法》及《建设项目环境保护管理条例》有关规定，本项目需进行环境影响评价。</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代县鑫路通石料厂</w:t>
            </w:r>
            <w:r>
              <w:rPr>
                <w:rFonts w:ascii="Times New Roman" w:hAnsi="Times New Roman" w:cs="Times New Roman"/>
                <w:sz w:val="24"/>
                <w:szCs w:val="24"/>
              </w:rPr>
              <w:t>于2020年</w:t>
            </w:r>
            <w:r>
              <w:rPr>
                <w:rFonts w:hint="eastAsia" w:ascii="Times New Roman" w:hAnsi="Times New Roman" w:cs="Times New Roman"/>
                <w:sz w:val="24"/>
                <w:szCs w:val="24"/>
              </w:rPr>
              <w:t>9</w:t>
            </w:r>
            <w:r>
              <w:rPr>
                <w:rFonts w:ascii="Times New Roman" w:hAnsi="Times New Roman" w:cs="Times New Roman"/>
                <w:sz w:val="24"/>
                <w:szCs w:val="24"/>
              </w:rPr>
              <w:t>月委托我单位承担该项目的环境影响评价工作（委托书见附件1）。根据《建设项目环境影响评价分类管理名录》，</w:t>
            </w:r>
            <w:r>
              <w:rPr>
                <w:rFonts w:hint="eastAsia" w:ascii="Times New Roman" w:hAnsi="Times New Roman" w:cs="Times New Roman"/>
                <w:sz w:val="24"/>
                <w:szCs w:val="24"/>
              </w:rPr>
              <w:t>本项目属于“十九</w:t>
            </w:r>
            <w:r>
              <w:rPr>
                <w:rFonts w:ascii="Times New Roman" w:hAnsi="Times New Roman" w:cs="Times New Roman"/>
                <w:sz w:val="24"/>
                <w:szCs w:val="24"/>
              </w:rPr>
              <w:t>-</w:t>
            </w:r>
            <w:r>
              <w:rPr>
                <w:rFonts w:hint="eastAsia" w:ascii="Times New Roman" w:hAnsi="Times New Roman" w:cs="Times New Roman"/>
                <w:sz w:val="24"/>
                <w:szCs w:val="24"/>
              </w:rPr>
              <w:t>非金属矿物制品业-</w:t>
            </w:r>
            <w:r>
              <w:rPr>
                <w:rFonts w:ascii="Times New Roman" w:hAnsi="Times New Roman" w:cs="Times New Roman"/>
                <w:sz w:val="24"/>
                <w:szCs w:val="24"/>
              </w:rPr>
              <w:t>5</w:t>
            </w:r>
            <w:r>
              <w:rPr>
                <w:rFonts w:hint="eastAsia" w:ascii="Times New Roman" w:hAnsi="Times New Roman" w:cs="Times New Roman"/>
                <w:sz w:val="24"/>
                <w:szCs w:val="24"/>
              </w:rPr>
              <w:t>6石墨及其他非金属矿物制品”中的“其他</w:t>
            </w:r>
            <w:r>
              <w:rPr>
                <w:rFonts w:ascii="Times New Roman" w:hAnsi="Times New Roman" w:cs="Times New Roman"/>
                <w:sz w:val="24"/>
                <w:szCs w:val="24"/>
              </w:rPr>
              <w:t>”，所以本项目应编制环境影响评价报告表。</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据现场踏勘调查了解，本项目尚未开工建设。</w:t>
            </w:r>
          </w:p>
          <w:p>
            <w:pPr>
              <w:spacing w:line="500" w:lineRule="exact"/>
              <w:ind w:firstLine="480" w:firstLineChars="200"/>
              <w:rPr>
                <w:rFonts w:ascii="Times New Roman" w:hAnsi="Times New Roman" w:cs="Times New Roman"/>
                <w:sz w:val="24"/>
                <w:szCs w:val="24"/>
              </w:rPr>
            </w:pPr>
            <w:r>
              <w:rPr>
                <w:rFonts w:ascii="Times New Roman" w:hAnsi="Times New Roman" w:cs="Times New Roman"/>
                <w:bCs/>
                <w:sz w:val="24"/>
                <w:szCs w:val="24"/>
              </w:rPr>
              <w:t>接受委托后，我单位立即组织项目参评人员对项目厂址进行现场踏勘，对项目进展情况进行了详细调查，详细了解了项目区现状和工程建设内容、工艺，收集了当地区域自然环境资料。根据评价技术导则、国家的法律法规要求和调查结果开展了各项工作，编制了《</w:t>
            </w:r>
            <w:r>
              <w:rPr>
                <w:rFonts w:hint="eastAsia" w:ascii="Times New Roman" w:hAnsi="Times New Roman" w:cs="Times New Roman"/>
                <w:sz w:val="24"/>
                <w:szCs w:val="24"/>
              </w:rPr>
              <w:t>鑫路通石料厂利用尾矿废石年产10万吨机制石料项目</w:t>
            </w:r>
            <w:r>
              <w:rPr>
                <w:rFonts w:ascii="Times New Roman" w:hAnsi="Times New Roman" w:cs="Times New Roman"/>
                <w:sz w:val="24"/>
                <w:szCs w:val="24"/>
              </w:rPr>
              <w:t>环境影响报告表》（报审本）。</w:t>
            </w:r>
          </w:p>
          <w:p>
            <w:pPr>
              <w:spacing w:line="500" w:lineRule="exact"/>
              <w:ind w:firstLine="480" w:firstLineChars="200"/>
            </w:pPr>
            <w:r>
              <w:rPr>
                <w:rFonts w:hint="eastAsia" w:ascii="Times New Roman" w:hAnsi="Times New Roman" w:cs="Times New Roman"/>
                <w:bCs/>
                <w:sz w:val="24"/>
                <w:szCs w:val="24"/>
              </w:rPr>
              <w:t>2020年11月19日，忻州市生态环境局代县分局在代县主持召开了</w:t>
            </w:r>
            <w:r>
              <w:rPr>
                <w:rFonts w:ascii="Times New Roman" w:hAnsi="Times New Roman" w:cs="Times New Roman"/>
                <w:bCs/>
                <w:sz w:val="24"/>
                <w:szCs w:val="24"/>
              </w:rPr>
              <w:t>《</w:t>
            </w:r>
            <w:r>
              <w:rPr>
                <w:rFonts w:hint="eastAsia" w:ascii="Times New Roman" w:hAnsi="Times New Roman" w:cs="Times New Roman"/>
                <w:sz w:val="24"/>
                <w:szCs w:val="24"/>
              </w:rPr>
              <w:t>鑫路通石料厂利用尾矿废石年产10万吨机制石料项目</w:t>
            </w:r>
            <w:r>
              <w:rPr>
                <w:rFonts w:ascii="Times New Roman" w:hAnsi="Times New Roman" w:cs="Times New Roman"/>
                <w:sz w:val="24"/>
                <w:szCs w:val="24"/>
              </w:rPr>
              <w:t>环境影响报告表</w:t>
            </w:r>
            <w:r>
              <w:rPr>
                <w:rFonts w:ascii="Times New Roman" w:hAnsi="Times New Roman" w:cs="Times New Roman"/>
                <w:bCs/>
                <w:sz w:val="24"/>
                <w:szCs w:val="24"/>
              </w:rPr>
              <w:t>》</w:t>
            </w:r>
            <w:r>
              <w:rPr>
                <w:rFonts w:hint="eastAsia" w:ascii="Times New Roman" w:hAnsi="Times New Roman" w:cs="Times New Roman"/>
                <w:bCs/>
                <w:sz w:val="24"/>
                <w:szCs w:val="24"/>
              </w:rPr>
              <w:t>技术审查会。与会人员经过认真讨论，最终形成了报告表技术审查意见。</w:t>
            </w:r>
            <w:r>
              <w:rPr>
                <w:rFonts w:ascii="Times New Roman" w:hAnsi="Times New Roman" w:cs="Times New Roman"/>
                <w:bCs/>
                <w:sz w:val="24"/>
                <w:szCs w:val="24"/>
              </w:rPr>
              <w:t>会后，我单位工作人员根据技术审查意见对报告表进行了认真的修改、补充和完善，最终形成了《</w:t>
            </w:r>
            <w:r>
              <w:rPr>
                <w:rFonts w:hint="eastAsia" w:ascii="Times New Roman" w:hAnsi="Times New Roman" w:cs="Times New Roman"/>
                <w:sz w:val="24"/>
                <w:szCs w:val="24"/>
              </w:rPr>
              <w:t>鑫路通石料厂利用尾矿废石年产10万吨机制石料项目</w:t>
            </w:r>
            <w:r>
              <w:rPr>
                <w:rFonts w:ascii="Times New Roman" w:hAnsi="Times New Roman" w:cs="Times New Roman"/>
                <w:sz w:val="24"/>
                <w:szCs w:val="24"/>
              </w:rPr>
              <w:t>环境影响报告表</w:t>
            </w:r>
            <w:r>
              <w:rPr>
                <w:rFonts w:ascii="Times New Roman" w:hAnsi="Times New Roman" w:cs="Times New Roman"/>
                <w:bCs/>
                <w:sz w:val="24"/>
                <w:szCs w:val="24"/>
              </w:rPr>
              <w:t>》（报批本），现递交建设单位，报请环境保护主管部门审批。</w:t>
            </w:r>
          </w:p>
          <w:p>
            <w:pPr>
              <w:spacing w:line="50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二、分析判定项目建设可行性分析</w:t>
            </w:r>
          </w:p>
          <w:p>
            <w:pPr>
              <w:spacing w:line="50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1</w:t>
            </w:r>
            <w:r>
              <w:rPr>
                <w:rFonts w:hint="eastAsia" w:ascii="Times New Roman" w:hAnsi="Times New Roman" w:cs="Times New Roman"/>
                <w:b/>
                <w:kern w:val="0"/>
                <w:sz w:val="24"/>
                <w:szCs w:val="24"/>
              </w:rPr>
              <w:t>、</w:t>
            </w:r>
            <w:r>
              <w:rPr>
                <w:rFonts w:ascii="Times New Roman" w:hAnsi="Times New Roman" w:cs="Times New Roman"/>
                <w:b/>
                <w:kern w:val="0"/>
                <w:sz w:val="24"/>
                <w:szCs w:val="24"/>
              </w:rPr>
              <w:t>产业政策符合性</w:t>
            </w:r>
          </w:p>
          <w:p>
            <w:pPr>
              <w:autoSpaceDE w:val="0"/>
              <w:autoSpaceDN w:val="0"/>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本项目为</w:t>
            </w:r>
            <w:r>
              <w:rPr>
                <w:rFonts w:hint="eastAsia" w:ascii="Times New Roman" w:hAnsi="Times New Roman" w:cs="Times New Roman"/>
                <w:sz w:val="24"/>
                <w:szCs w:val="24"/>
              </w:rPr>
              <w:t>石料加工项目</w:t>
            </w:r>
            <w:r>
              <w:rPr>
                <w:rFonts w:ascii="Times New Roman" w:hAnsi="Times New Roman" w:cs="Times New Roman"/>
                <w:sz w:val="24"/>
                <w:szCs w:val="24"/>
              </w:rPr>
              <w:t>。根据《产业结构调整指导目录（2019年本）》</w:t>
            </w:r>
            <w:r>
              <w:rPr>
                <w:rFonts w:hint="eastAsia" w:ascii="Times New Roman" w:hAnsi="Times New Roman" w:cs="Times New Roman"/>
                <w:sz w:val="24"/>
                <w:szCs w:val="24"/>
              </w:rPr>
              <w:t>，</w:t>
            </w:r>
            <w:r>
              <w:rPr>
                <w:rFonts w:ascii="Times New Roman" w:hAnsi="Times New Roman" w:cs="Times New Roman"/>
                <w:sz w:val="24"/>
                <w:szCs w:val="24"/>
              </w:rPr>
              <w:t>不属于鼓励类、淘汰类和限制类之列，视为允许类项目。因此，本项目符合国家产业政策要求。</w:t>
            </w:r>
          </w:p>
          <w:p>
            <w:pPr>
              <w:autoSpaceDE w:val="0"/>
              <w:autoSpaceDN w:val="0"/>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2020年</w:t>
            </w:r>
            <w:r>
              <w:rPr>
                <w:rFonts w:hint="eastAsia" w:ascii="Times New Roman" w:hAnsi="Times New Roman" w:cs="Times New Roman"/>
                <w:sz w:val="24"/>
                <w:szCs w:val="24"/>
              </w:rPr>
              <w:t>9</w:t>
            </w:r>
            <w:r>
              <w:rPr>
                <w:rFonts w:ascii="Times New Roman" w:hAnsi="Times New Roman" w:cs="Times New Roman"/>
                <w:sz w:val="24"/>
                <w:szCs w:val="24"/>
              </w:rPr>
              <w:t>月</w:t>
            </w:r>
            <w:r>
              <w:rPr>
                <w:rFonts w:hint="eastAsia" w:ascii="Times New Roman" w:hAnsi="Times New Roman" w:cs="Times New Roman"/>
                <w:sz w:val="24"/>
                <w:szCs w:val="24"/>
              </w:rPr>
              <w:t>7</w:t>
            </w:r>
            <w:r>
              <w:rPr>
                <w:rFonts w:ascii="Times New Roman" w:hAnsi="Times New Roman" w:cs="Times New Roman"/>
                <w:sz w:val="24"/>
                <w:szCs w:val="24"/>
              </w:rPr>
              <w:t>日，本项目已由代县发展和改革局以项目代码20</w:t>
            </w:r>
            <w:r>
              <w:rPr>
                <w:rFonts w:hint="eastAsia" w:ascii="Times New Roman" w:hAnsi="Times New Roman" w:cs="Times New Roman"/>
                <w:sz w:val="24"/>
                <w:szCs w:val="24"/>
              </w:rPr>
              <w:t>20</w:t>
            </w:r>
            <w:r>
              <w:rPr>
                <w:rFonts w:ascii="Times New Roman" w:hAnsi="Times New Roman" w:cs="Times New Roman"/>
                <w:sz w:val="24"/>
                <w:szCs w:val="24"/>
              </w:rPr>
              <w:t>-140923-4</w:t>
            </w:r>
            <w:r>
              <w:rPr>
                <w:rFonts w:hint="eastAsia" w:ascii="Times New Roman" w:hAnsi="Times New Roman" w:cs="Times New Roman"/>
                <w:sz w:val="24"/>
                <w:szCs w:val="24"/>
              </w:rPr>
              <w:t>2</w:t>
            </w:r>
            <w:r>
              <w:rPr>
                <w:rFonts w:ascii="Times New Roman" w:hAnsi="Times New Roman" w:cs="Times New Roman"/>
                <w:sz w:val="24"/>
                <w:szCs w:val="24"/>
              </w:rPr>
              <w:t>-03-</w:t>
            </w:r>
            <w:r>
              <w:rPr>
                <w:rFonts w:hint="eastAsia" w:ascii="Times New Roman" w:hAnsi="Times New Roman" w:cs="Times New Roman"/>
                <w:sz w:val="24"/>
                <w:szCs w:val="24"/>
              </w:rPr>
              <w:t>018633</w:t>
            </w:r>
            <w:r>
              <w:rPr>
                <w:rFonts w:ascii="Times New Roman" w:hAnsi="Times New Roman" w:cs="Times New Roman"/>
                <w:sz w:val="24"/>
                <w:szCs w:val="24"/>
              </w:rPr>
              <w:t>予以备案（附件2）。</w:t>
            </w:r>
          </w:p>
          <w:p>
            <w:pPr>
              <w:spacing w:line="50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2</w:t>
            </w:r>
            <w:r>
              <w:rPr>
                <w:rFonts w:hint="eastAsia" w:ascii="Times New Roman" w:hAnsi="Times New Roman" w:cs="Times New Roman"/>
                <w:b/>
                <w:kern w:val="0"/>
                <w:sz w:val="24"/>
                <w:szCs w:val="24"/>
              </w:rPr>
              <w:t>、</w:t>
            </w:r>
            <w:r>
              <w:rPr>
                <w:rFonts w:ascii="Times New Roman" w:hAnsi="Times New Roman" w:cs="Times New Roman"/>
                <w:b/>
                <w:kern w:val="0"/>
                <w:sz w:val="24"/>
                <w:szCs w:val="24"/>
              </w:rPr>
              <w:t>与城市总体规划的符合性分析</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本项目建设地点位于</w:t>
            </w:r>
            <w:r>
              <w:rPr>
                <w:rFonts w:hint="eastAsia" w:ascii="Times New Roman" w:hAnsi="Times New Roman" w:cs="Times New Roman"/>
                <w:kern w:val="0"/>
                <w:sz w:val="24"/>
                <w:szCs w:val="24"/>
              </w:rPr>
              <w:t>山西省忻州市代县新高乡周流村南</w:t>
            </w:r>
            <w:r>
              <w:rPr>
                <w:rFonts w:ascii="Times New Roman" w:hAnsi="Times New Roman" w:cs="Times New Roman"/>
                <w:sz w:val="24"/>
                <w:szCs w:val="24"/>
              </w:rPr>
              <w:t>，不在代县县城</w:t>
            </w:r>
            <w:r>
              <w:rPr>
                <w:rFonts w:ascii="Times New Roman" w:hAnsi="Times New Roman" w:cs="Times New Roman"/>
                <w:spacing w:val="4"/>
                <w:sz w:val="24"/>
                <w:szCs w:val="24"/>
              </w:rPr>
              <w:t>规划范围内</w:t>
            </w:r>
            <w:r>
              <w:rPr>
                <w:rFonts w:ascii="Times New Roman" w:hAnsi="Times New Roman" w:cs="Times New Roman"/>
                <w:sz w:val="24"/>
                <w:szCs w:val="24"/>
              </w:rPr>
              <w:t>，本项目的建设不违背区域总体规划要求。</w:t>
            </w:r>
          </w:p>
          <w:p>
            <w:pPr>
              <w:spacing w:line="50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3</w:t>
            </w:r>
            <w:r>
              <w:rPr>
                <w:rFonts w:hint="eastAsia" w:ascii="Times New Roman" w:hAnsi="Times New Roman" w:cs="Times New Roman"/>
                <w:b/>
                <w:kern w:val="0"/>
                <w:sz w:val="24"/>
                <w:szCs w:val="24"/>
              </w:rPr>
              <w:t>、</w:t>
            </w:r>
            <w:r>
              <w:rPr>
                <w:rFonts w:ascii="Times New Roman" w:hAnsi="Times New Roman" w:cs="Times New Roman"/>
                <w:b/>
                <w:bCs/>
                <w:sz w:val="24"/>
                <w:szCs w:val="24"/>
              </w:rPr>
              <w:t>三线一单</w:t>
            </w:r>
            <w:r>
              <w:rPr>
                <w:rFonts w:ascii="Times New Roman" w:hAnsi="Times New Roman" w:cs="Times New Roman"/>
                <w:b/>
                <w:kern w:val="0"/>
                <w:sz w:val="24"/>
                <w:szCs w:val="24"/>
              </w:rPr>
              <w:t>符合性分析</w:t>
            </w:r>
          </w:p>
          <w:p>
            <w:pPr>
              <w:pStyle w:val="2"/>
              <w:spacing w:line="500" w:lineRule="exact"/>
              <w:ind w:firstLine="480" w:firstLineChars="200"/>
              <w:jc w:val="both"/>
              <w:rPr>
                <w:rFonts w:ascii="Times New Roman" w:cs="Times New Roman" w:eastAsiaTheme="minorEastAsia"/>
                <w:color w:val="auto"/>
                <w:kern w:val="2"/>
              </w:rPr>
            </w:pPr>
            <w:r>
              <w:rPr>
                <w:rFonts w:ascii="Times New Roman" w:cs="Times New Roman" w:eastAsiaTheme="minorEastAsia"/>
                <w:color w:val="auto"/>
                <w:kern w:val="2"/>
              </w:rPr>
              <w:t>根据环保部颁布的《关于以改善环境质量为核心加强环境影响评价管理的通知》要求，全面加强环境影响评价管理，落实“生态保护红线、环境质量底线、资源利用上线和环境准入负面清单”约束。本项目与“三线一单”符合性分析如下：</w:t>
            </w:r>
          </w:p>
          <w:p>
            <w:pPr>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（1）生态保护红线</w:t>
            </w:r>
          </w:p>
          <w:p>
            <w:pPr>
              <w:adjustRightInd w:val="0"/>
              <w:snapToGrid w:val="0"/>
              <w:spacing w:line="500" w:lineRule="exact"/>
              <w:ind w:firstLine="488" w:firstLineChars="200"/>
              <w:rPr>
                <w:rFonts w:ascii="Times New Roman" w:hAnsi="Times New Roman" w:cs="Times New Roman"/>
                <w:sz w:val="24"/>
                <w:szCs w:val="24"/>
              </w:rPr>
            </w:pPr>
            <w:r>
              <w:rPr>
                <w:rFonts w:ascii="Times New Roman" w:hAnsi="Times New Roman" w:cs="Times New Roman"/>
                <w:spacing w:val="2"/>
                <w:sz w:val="24"/>
                <w:szCs w:val="24"/>
              </w:rPr>
              <w:t>代县目前正在划分生态保护红线。本次环评对照区域水源保护区、自然保护区、生态功能区划和生态经济区划资料等进行分析。本项目位于</w:t>
            </w:r>
            <w:r>
              <w:rPr>
                <w:rFonts w:hint="eastAsia" w:ascii="Times New Roman" w:hAnsi="Times New Roman" w:cs="Times New Roman"/>
                <w:kern w:val="0"/>
                <w:sz w:val="24"/>
                <w:szCs w:val="24"/>
              </w:rPr>
              <w:t>山西省忻州市代县新高乡周流村南</w:t>
            </w:r>
            <w:r>
              <w:rPr>
                <w:rFonts w:ascii="Times New Roman" w:hAnsi="Times New Roman" w:cs="Times New Roman"/>
                <w:spacing w:val="2"/>
                <w:sz w:val="24"/>
                <w:szCs w:val="24"/>
              </w:rPr>
              <w:t>，项目不位于自然保护区、风景名胜区、饮用水水源保护区、森林公园、地质公园等，重要生态功能区、生态敏感区和脆弱区以及其他要求禁止建设的环境敏感区内，</w:t>
            </w:r>
            <w:r>
              <w:rPr>
                <w:rFonts w:hint="eastAsia" w:ascii="Times New Roman" w:hAnsi="Times New Roman" w:cs="Times New Roman"/>
                <w:spacing w:val="2"/>
                <w:sz w:val="24"/>
                <w:szCs w:val="24"/>
                <w:lang w:eastAsia="zh-CN"/>
              </w:rPr>
              <w:t>本项目</w:t>
            </w:r>
            <w:r>
              <w:rPr>
                <w:rFonts w:ascii="Times New Roman" w:hAnsi="Times New Roman" w:cs="Times New Roman"/>
                <w:sz w:val="24"/>
                <w:szCs w:val="24"/>
              </w:rPr>
              <w:t>位于</w:t>
            </w:r>
            <w:r>
              <w:rPr>
                <w:rFonts w:hint="eastAsia" w:ascii="宋体" w:hAnsi="宋体" w:eastAsia="宋体" w:cs="宋体"/>
                <w:sz w:val="24"/>
                <w:szCs w:val="24"/>
              </w:rPr>
              <w:t>Ⅱ</w:t>
            </w:r>
            <w:r>
              <w:rPr>
                <w:rFonts w:hint="eastAsia" w:ascii="Times New Roman" w:hAnsi="Times New Roman" w:eastAsia="宋体" w:cs="Times New Roman"/>
                <w:sz w:val="24"/>
                <w:szCs w:val="24"/>
              </w:rPr>
              <w:t>C代县南部中解河流域土壤保持生态功能小区</w:t>
            </w:r>
            <w:r>
              <w:rPr>
                <w:rFonts w:hint="eastAsia" w:ascii="Times New Roman" w:hAnsi="Times New Roman" w:eastAsia="宋体" w:cs="Times New Roman"/>
                <w:sz w:val="24"/>
                <w:szCs w:val="24"/>
                <w:lang w:eastAsia="zh-CN"/>
              </w:rPr>
              <w:t>和</w:t>
            </w:r>
            <w:r>
              <w:rPr>
                <w:rFonts w:ascii="Times New Roman" w:hAnsi="Times New Roman" w:cs="Times New Roman"/>
                <w:sz w:val="24"/>
                <w:szCs w:val="24"/>
              </w:rPr>
              <w:t>优化开发区中的</w:t>
            </w:r>
            <w:r>
              <w:rPr>
                <w:rFonts w:hint="eastAsia" w:ascii="Times New Roman" w:hAnsi="Times New Roman" w:cs="Times New Roman"/>
                <w:sz w:val="24"/>
                <w:szCs w:val="24"/>
              </w:rPr>
              <w:t>ⅣB-1峪河中解河流域矿产重工业生态经济区</w:t>
            </w:r>
            <w:r>
              <w:rPr>
                <w:rFonts w:hint="eastAsia" w:ascii="Times New Roman" w:hAnsi="Times New Roman" w:cs="Times New Roman"/>
                <w:sz w:val="24"/>
                <w:szCs w:val="24"/>
                <w:lang w:eastAsia="zh-CN"/>
              </w:rPr>
              <w:t>，不违反区划要求；本项目所在区域属于限制开发的农产品主产区，本项目为石料加工项目，不属于山西省主体功能区划限制禁止项目，</w:t>
            </w:r>
            <w:r>
              <w:rPr>
                <w:rFonts w:ascii="Times New Roman" w:hAnsi="Times New Roman" w:cs="Times New Roman"/>
                <w:spacing w:val="2"/>
                <w:sz w:val="24"/>
                <w:szCs w:val="24"/>
              </w:rPr>
              <w:t>符合生态保护红线的划定原则。</w:t>
            </w:r>
          </w:p>
          <w:p>
            <w:pPr>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（2）环境质量底线</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为了了解区域环境空气质量现状，本次评价引用了代县201</w:t>
            </w:r>
            <w:r>
              <w:rPr>
                <w:rFonts w:hint="eastAsia" w:ascii="Times New Roman" w:hAnsi="Times New Roman" w:cs="Times New Roman"/>
                <w:bCs/>
                <w:sz w:val="24"/>
                <w:szCs w:val="24"/>
              </w:rPr>
              <w:t>9</w:t>
            </w:r>
            <w:r>
              <w:rPr>
                <w:rFonts w:ascii="Times New Roman" w:hAnsi="Times New Roman" w:cs="Times New Roman"/>
                <w:bCs/>
                <w:sz w:val="24"/>
                <w:szCs w:val="24"/>
              </w:rPr>
              <w:t>年环境空气质量年平均浓度值报表。据统计结果分析，</w:t>
            </w:r>
            <w:r>
              <w:rPr>
                <w:rFonts w:ascii="Times New Roman" w:hAnsi="Times New Roman" w:cs="Times New Roman"/>
                <w:sz w:val="24"/>
                <w:szCs w:val="24"/>
              </w:rPr>
              <w:t>PM</w:t>
            </w:r>
            <w:r>
              <w:rPr>
                <w:rFonts w:ascii="Times New Roman" w:hAnsi="Times New Roman" w:cs="Times New Roman"/>
                <w:sz w:val="24"/>
                <w:szCs w:val="24"/>
                <w:vertAlign w:val="subscript"/>
              </w:rPr>
              <w:t>10</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cs="Times New Roman"/>
                <w:sz w:val="24"/>
                <w:szCs w:val="24"/>
              </w:rPr>
              <w:t>年均值不满足《环境空气质量标准》（GB3095-2012）二级标准要求</w:t>
            </w:r>
            <w:r>
              <w:rPr>
                <w:rFonts w:hint="eastAsia" w:ascii="Times New Roman" w:hAnsi="Times New Roman" w:cs="Times New Roman"/>
                <w:sz w:val="24"/>
                <w:szCs w:val="24"/>
              </w:rPr>
              <w:t>，即</w:t>
            </w:r>
            <w:r>
              <w:rPr>
                <w:rFonts w:ascii="Times New Roman" w:hAnsi="Times New Roman" w:cs="Times New Roman"/>
                <w:bCs/>
                <w:sz w:val="24"/>
                <w:szCs w:val="24"/>
              </w:rPr>
              <w:t>项目所在地区域环境空气为不达标区，为了解项目所在地环境空气质量现状，</w:t>
            </w:r>
            <w:r>
              <w:rPr>
                <w:rFonts w:hint="eastAsia" w:ascii="Times New Roman" w:cs="Times New Roman"/>
                <w:sz w:val="24"/>
                <w:szCs w:val="24"/>
              </w:rPr>
              <w:t>企业委托山西昌兴同创安全技术服务有限公司</w:t>
            </w:r>
            <w:r>
              <w:rPr>
                <w:rFonts w:hint="eastAsia" w:ascii="Times New Roman" w:hAnsi="Times New Roman" w:cs="Times New Roman"/>
                <w:sz w:val="24"/>
                <w:szCs w:val="24"/>
              </w:rPr>
              <w:t>对项目</w:t>
            </w:r>
            <w:r>
              <w:rPr>
                <w:rFonts w:hint="eastAsia" w:ascii="Times New Roman" w:cs="Times New Roman"/>
                <w:sz w:val="24"/>
                <w:szCs w:val="24"/>
              </w:rPr>
              <w:t>环境空气质量进行监</w:t>
            </w:r>
            <w:r>
              <w:rPr>
                <w:rFonts w:hint="eastAsia" w:ascii="Times New Roman" w:hAnsi="Times New Roman" w:cs="Times New Roman"/>
                <w:bCs/>
                <w:sz w:val="24"/>
                <w:szCs w:val="24"/>
              </w:rPr>
              <w:t>测</w:t>
            </w:r>
            <w:r>
              <w:rPr>
                <w:rFonts w:ascii="Times New Roman" w:hAnsi="Times New Roman" w:cs="Times New Roman"/>
                <w:bCs/>
                <w:sz w:val="24"/>
                <w:szCs w:val="24"/>
              </w:rPr>
              <w:t>，根据监测结果，TSP</w:t>
            </w:r>
            <w:r>
              <w:rPr>
                <w:rFonts w:hint="eastAsia" w:ascii="Times New Roman" w:hAnsi="Times New Roman" w:cs="Times New Roman"/>
                <w:bCs/>
                <w:sz w:val="24"/>
                <w:szCs w:val="24"/>
              </w:rPr>
              <w:t>、PM</w:t>
            </w:r>
            <w:r>
              <w:rPr>
                <w:rFonts w:hint="eastAsia" w:ascii="Times New Roman" w:hAnsi="Times New Roman" w:cs="Times New Roman"/>
                <w:bCs/>
                <w:sz w:val="24"/>
                <w:szCs w:val="24"/>
                <w:vertAlign w:val="subscript"/>
              </w:rPr>
              <w:t>10</w:t>
            </w:r>
            <w:r>
              <w:rPr>
                <w:rFonts w:ascii="Times New Roman" w:hAnsi="Times New Roman" w:cs="Times New Roman"/>
                <w:bCs/>
                <w:sz w:val="24"/>
                <w:szCs w:val="24"/>
              </w:rPr>
              <w:t>能够达到《环境空气质量标准》（GB3095-2012）二级标准要求。项目严格按照环评提出的除尘措施建设和管理后，大气污染物排放量较小，对环境空气影响较小；项目不产生外排废水，对地表水不产生影响。根据建设单位委托</w:t>
            </w:r>
            <w:r>
              <w:rPr>
                <w:rFonts w:hint="eastAsia" w:ascii="Times New Roman" w:hAnsi="Times New Roman" w:cs="Times New Roman"/>
                <w:bCs/>
                <w:sz w:val="24"/>
                <w:szCs w:val="24"/>
              </w:rPr>
              <w:t>山西昌兴同创安全技术服务有限公司</w:t>
            </w:r>
            <w:r>
              <w:rPr>
                <w:rFonts w:ascii="Times New Roman" w:hAnsi="Times New Roman" w:cs="Times New Roman"/>
                <w:bCs/>
                <w:sz w:val="24"/>
                <w:szCs w:val="24"/>
              </w:rPr>
              <w:t>对项目所在地噪声进行的实测结果可知，项目周围声环境质量良好。</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（3）资源利用上线</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本项目使用的资源主要有水资源、电能，项目所在区周围资源丰富，项目投入使用后利用节能设备，减少能源的用量，符合资源利用上线要求。</w:t>
            </w:r>
          </w:p>
          <w:p>
            <w:pPr>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（4）环境准入负面清单</w:t>
            </w:r>
          </w:p>
          <w:p>
            <w:pPr>
              <w:spacing w:line="500" w:lineRule="exact"/>
              <w:ind w:firstLine="480" w:firstLineChars="200"/>
              <w:rPr>
                <w:rFonts w:ascii="Times New Roman" w:hAnsi="Times New Roman" w:cs="Times New Roman"/>
                <w:bCs/>
                <w:spacing w:val="4"/>
                <w:sz w:val="24"/>
                <w:szCs w:val="24"/>
              </w:rPr>
            </w:pPr>
            <w:r>
              <w:rPr>
                <w:rFonts w:ascii="Times New Roman" w:hAnsi="Times New Roman" w:cs="Times New Roman"/>
                <w:sz w:val="24"/>
                <w:szCs w:val="24"/>
              </w:rPr>
              <w:t>本项目所在地没有环境准入负面清单，本项目无重大污染。本次环评对照国家产业政策进行说明。根据中华人民共和国发展和改革委员会令（第21号）《产业结构调整指导目录（201</w:t>
            </w:r>
            <w:r>
              <w:rPr>
                <w:rFonts w:hint="eastAsia" w:ascii="Times New Roman" w:hAnsi="Times New Roman" w:cs="Times New Roman"/>
                <w:sz w:val="24"/>
                <w:szCs w:val="24"/>
              </w:rPr>
              <w:t>9</w:t>
            </w:r>
            <w:r>
              <w:rPr>
                <w:rFonts w:ascii="Times New Roman" w:hAnsi="Times New Roman" w:cs="Times New Roman"/>
                <w:sz w:val="24"/>
                <w:szCs w:val="24"/>
              </w:rPr>
              <w:t>年本）》（201</w:t>
            </w:r>
            <w:r>
              <w:rPr>
                <w:rFonts w:hint="eastAsia" w:ascii="Times New Roman" w:hAnsi="Times New Roman" w:cs="Times New Roman"/>
                <w:sz w:val="24"/>
                <w:szCs w:val="24"/>
              </w:rPr>
              <w:t>9</w:t>
            </w:r>
            <w:r>
              <w:rPr>
                <w:rFonts w:ascii="Times New Roman" w:hAnsi="Times New Roman" w:cs="Times New Roman"/>
                <w:sz w:val="24"/>
                <w:szCs w:val="24"/>
              </w:rPr>
              <w:t>年</w:t>
            </w:r>
            <w:r>
              <w:rPr>
                <w:rFonts w:hint="eastAsia" w:ascii="Times New Roman" w:hAnsi="Times New Roman" w:cs="Times New Roman"/>
                <w:sz w:val="24"/>
                <w:szCs w:val="24"/>
              </w:rPr>
              <w:t>8</w:t>
            </w:r>
            <w:r>
              <w:rPr>
                <w:rFonts w:ascii="Times New Roman" w:hAnsi="Times New Roman" w:cs="Times New Roman"/>
                <w:sz w:val="24"/>
                <w:szCs w:val="24"/>
              </w:rPr>
              <w:t>月</w:t>
            </w:r>
            <w:r>
              <w:rPr>
                <w:rFonts w:hint="eastAsia" w:ascii="Times New Roman" w:hAnsi="Times New Roman" w:cs="Times New Roman"/>
                <w:sz w:val="24"/>
                <w:szCs w:val="24"/>
              </w:rPr>
              <w:t>27</w:t>
            </w:r>
            <w:r>
              <w:rPr>
                <w:rFonts w:ascii="Times New Roman" w:hAnsi="Times New Roman" w:cs="Times New Roman"/>
                <w:sz w:val="24"/>
                <w:szCs w:val="24"/>
              </w:rPr>
              <w:t>日修改），本项目属于允许类项目</w:t>
            </w:r>
            <w:r>
              <w:rPr>
                <w:rFonts w:ascii="Times New Roman" w:hAnsi="Times New Roman" w:cs="Times New Roman"/>
                <w:bCs/>
                <w:spacing w:val="4"/>
                <w:sz w:val="24"/>
                <w:szCs w:val="24"/>
              </w:rPr>
              <w:t>。因此，本项目符合国家产业政策。</w:t>
            </w:r>
          </w:p>
          <w:p>
            <w:pPr>
              <w:spacing w:line="500" w:lineRule="exact"/>
              <w:ind w:firstLine="482" w:firstLineChars="200"/>
              <w:rPr>
                <w:rFonts w:ascii="Times New Roman" w:hAnsi="Times New Roman" w:cs="Times New Roman"/>
                <w:b/>
                <w:kern w:val="0"/>
                <w:sz w:val="24"/>
                <w:szCs w:val="24"/>
              </w:rPr>
            </w:pPr>
            <w:r>
              <w:rPr>
                <w:rFonts w:hint="eastAsia" w:ascii="Times New Roman" w:hAnsi="Times New Roman" w:cs="Times New Roman"/>
                <w:b/>
                <w:kern w:val="0"/>
                <w:sz w:val="24"/>
                <w:szCs w:val="24"/>
              </w:rPr>
              <w:t>4、</w:t>
            </w:r>
            <w:r>
              <w:rPr>
                <w:rFonts w:hint="eastAsia" w:ascii="Times New Roman" w:hAnsi="Times New Roman" w:cs="Times New Roman"/>
                <w:b/>
                <w:bCs/>
                <w:sz w:val="24"/>
                <w:szCs w:val="24"/>
              </w:rPr>
              <w:t>大气污染防治政策</w:t>
            </w:r>
            <w:r>
              <w:rPr>
                <w:rFonts w:ascii="Times New Roman" w:hAnsi="Times New Roman" w:cs="Times New Roman"/>
                <w:b/>
                <w:kern w:val="0"/>
                <w:sz w:val="24"/>
                <w:szCs w:val="24"/>
              </w:rPr>
              <w:t>符合性分析</w:t>
            </w:r>
          </w:p>
          <w:p>
            <w:pPr>
              <w:pStyle w:val="239"/>
              <w:spacing w:line="500" w:lineRule="exact"/>
              <w:ind w:firstLine="480" w:firstLineChars="200"/>
              <w:jc w:val="both"/>
              <w:rPr>
                <w:rFonts w:hint="eastAsia" w:ascii="Times New Roman" w:hAnsi="Times New Roman" w:cs="Times New Roman" w:eastAsiaTheme="minorEastAsia"/>
                <w:kern w:val="0"/>
                <w:szCs w:val="24"/>
                <w:lang w:eastAsia="zh-CN"/>
              </w:rPr>
            </w:pPr>
            <w:r>
              <w:rPr>
                <w:rFonts w:hint="eastAsia" w:eastAsiaTheme="minorEastAsia"/>
                <w:kern w:val="0"/>
                <w:szCs w:val="24"/>
              </w:rPr>
              <w:t>按照《忻州市大气污染防治条例》要求“向大气排放粉尘的企业应当安装净化装置或者采取其他措施，防止污染周边环境”，本项目安装布袋除尘装置以及洒水喷雾装置进行抑尘，减少粉尘排放量，符合政策要求。</w:t>
            </w:r>
            <w:r>
              <w:rPr>
                <w:rFonts w:hint="eastAsia" w:eastAsiaTheme="minorEastAsia"/>
                <w:kern w:val="0"/>
                <w:szCs w:val="24"/>
                <w:lang w:eastAsia="zh-CN"/>
              </w:rPr>
              <w:t>按照《山西省打赢蓝天保卫战</w:t>
            </w:r>
            <w:r>
              <w:rPr>
                <w:rFonts w:hint="eastAsia" w:eastAsiaTheme="minorEastAsia"/>
                <w:kern w:val="0"/>
                <w:szCs w:val="24"/>
                <w:lang w:val="en-US" w:eastAsia="zh-CN"/>
              </w:rPr>
              <w:t>2020年决战计划</w:t>
            </w:r>
            <w:r>
              <w:rPr>
                <w:rFonts w:hint="eastAsia" w:eastAsiaTheme="minorEastAsia"/>
                <w:kern w:val="0"/>
                <w:szCs w:val="24"/>
                <w:lang w:eastAsia="zh-CN"/>
              </w:rPr>
              <w:t>》要求，施工工地场地扬尘整治“六个百分之百”；《忻州市大气污染防治</w:t>
            </w:r>
            <w:r>
              <w:rPr>
                <w:rFonts w:hint="eastAsia" w:eastAsiaTheme="minorEastAsia"/>
                <w:kern w:val="0"/>
                <w:szCs w:val="24"/>
                <w:lang w:val="en-US" w:eastAsia="zh-CN"/>
              </w:rPr>
              <w:t>2020年行动计划</w:t>
            </w:r>
            <w:r>
              <w:rPr>
                <w:rFonts w:hint="eastAsia" w:eastAsiaTheme="minorEastAsia"/>
                <w:kern w:val="0"/>
                <w:szCs w:val="24"/>
                <w:lang w:eastAsia="zh-CN"/>
              </w:rPr>
              <w:t>》要求，对粒状物料密闭储存，采用密闭皮带、密闭车厢等输送方式运输，块状物料采用入棚仓或建设防风抑尘网等方式进行储存，并设有洒水、喷淋</w:t>
            </w:r>
            <w:r>
              <w:rPr>
                <w:rFonts w:hint="eastAsia" w:ascii="Times New Roman" w:hAnsi="Times New Roman" w:cs="Times New Roman" w:eastAsiaTheme="minorEastAsia"/>
                <w:kern w:val="0"/>
                <w:szCs w:val="24"/>
                <w:lang w:eastAsia="zh-CN"/>
              </w:rPr>
              <w:t>、苫盖等综合措施进行抑尘；生产工艺产尘点应加盖封闭，设置集气罩并配套除尘设施，生产现场和料场路面应实施硬化，出口处配套车轮和车身清洗装置，本项目符合环保政策要求。</w:t>
            </w:r>
          </w:p>
          <w:p>
            <w:pPr>
              <w:pStyle w:val="239"/>
              <w:spacing w:line="500" w:lineRule="exact"/>
              <w:ind w:firstLine="480" w:firstLineChars="200"/>
              <w:jc w:val="both"/>
              <w:rPr>
                <w:rFonts w:eastAsiaTheme="minorEastAsia"/>
                <w:kern w:val="0"/>
                <w:szCs w:val="24"/>
              </w:rPr>
            </w:pPr>
            <w:r>
              <w:rPr>
                <w:rFonts w:eastAsiaTheme="minorEastAsia"/>
                <w:kern w:val="0"/>
                <w:szCs w:val="24"/>
              </w:rPr>
              <w:t>综上所述，本项目选址、建设可行，符合国家“三线一单”管控原则</w:t>
            </w:r>
            <w:r>
              <w:rPr>
                <w:rFonts w:hint="eastAsia" w:eastAsiaTheme="minorEastAsia"/>
                <w:kern w:val="0"/>
                <w:szCs w:val="24"/>
              </w:rPr>
              <w:t>，符合大气污染防治相关政策</w:t>
            </w:r>
            <w:r>
              <w:rPr>
                <w:rFonts w:eastAsiaTheme="minorEastAsia"/>
                <w:kern w:val="0"/>
                <w:szCs w:val="24"/>
              </w:rPr>
              <w:t>。</w:t>
            </w:r>
          </w:p>
          <w:p>
            <w:pPr>
              <w:pStyle w:val="239"/>
              <w:spacing w:line="500" w:lineRule="exact"/>
              <w:ind w:firstLine="482" w:firstLineChars="200"/>
              <w:jc w:val="both"/>
              <w:rPr>
                <w:rFonts w:eastAsiaTheme="minorEastAsia"/>
                <w:b/>
                <w:kern w:val="0"/>
                <w:szCs w:val="24"/>
              </w:rPr>
            </w:pPr>
            <w:r>
              <w:rPr>
                <w:rFonts w:eastAsiaTheme="minorEastAsia"/>
                <w:b/>
                <w:kern w:val="0"/>
                <w:szCs w:val="24"/>
              </w:rPr>
              <w:t>三、项目概况</w:t>
            </w:r>
          </w:p>
          <w:p>
            <w:pPr>
              <w:pStyle w:val="238"/>
              <w:spacing w:line="500" w:lineRule="exact"/>
              <w:ind w:firstLine="482" w:firstLineChars="200"/>
              <w:jc w:val="both"/>
              <w:rPr>
                <w:rFonts w:eastAsiaTheme="minorEastAsia"/>
                <w:szCs w:val="24"/>
              </w:rPr>
            </w:pPr>
            <w:r>
              <w:rPr>
                <w:rFonts w:eastAsiaTheme="minorEastAsia"/>
                <w:szCs w:val="24"/>
              </w:rPr>
              <w:t>1</w:t>
            </w:r>
            <w:r>
              <w:rPr>
                <w:rFonts w:hint="eastAsia" w:eastAsiaTheme="minorEastAsia"/>
                <w:szCs w:val="24"/>
              </w:rPr>
              <w:t>、</w:t>
            </w:r>
            <w:r>
              <w:rPr>
                <w:rFonts w:eastAsiaTheme="minorEastAsia"/>
                <w:szCs w:val="24"/>
              </w:rPr>
              <w:t>项目名称</w:t>
            </w:r>
          </w:p>
          <w:p>
            <w:pPr>
              <w:pStyle w:val="238"/>
              <w:spacing w:line="500" w:lineRule="exact"/>
              <w:ind w:firstLine="480" w:firstLineChars="200"/>
              <w:jc w:val="both"/>
              <w:rPr>
                <w:rFonts w:eastAsiaTheme="minorEastAsia"/>
                <w:b w:val="0"/>
                <w:szCs w:val="24"/>
              </w:rPr>
            </w:pPr>
            <w:r>
              <w:rPr>
                <w:rFonts w:hint="eastAsia" w:eastAsiaTheme="minorEastAsia"/>
                <w:b w:val="0"/>
                <w:szCs w:val="24"/>
              </w:rPr>
              <w:t>鑫路通石料厂利用尾矿废石年产10万吨机制石料项目</w:t>
            </w:r>
          </w:p>
          <w:p>
            <w:pPr>
              <w:pStyle w:val="238"/>
              <w:spacing w:line="500" w:lineRule="exact"/>
              <w:ind w:firstLine="482" w:firstLineChars="200"/>
              <w:jc w:val="both"/>
              <w:rPr>
                <w:rFonts w:eastAsiaTheme="minorEastAsia"/>
                <w:szCs w:val="24"/>
              </w:rPr>
            </w:pPr>
            <w:r>
              <w:rPr>
                <w:rFonts w:eastAsiaTheme="minorEastAsia"/>
                <w:szCs w:val="24"/>
              </w:rPr>
              <w:t>2</w:t>
            </w:r>
            <w:r>
              <w:rPr>
                <w:rFonts w:hint="eastAsia" w:eastAsiaTheme="minorEastAsia"/>
                <w:szCs w:val="24"/>
              </w:rPr>
              <w:t>、</w:t>
            </w:r>
            <w:r>
              <w:rPr>
                <w:rFonts w:eastAsiaTheme="minorEastAsia"/>
                <w:szCs w:val="24"/>
              </w:rPr>
              <w:t>建设单位</w:t>
            </w:r>
          </w:p>
          <w:p>
            <w:pPr>
              <w:pStyle w:val="238"/>
              <w:spacing w:line="500" w:lineRule="exact"/>
              <w:ind w:firstLine="480" w:firstLineChars="200"/>
              <w:jc w:val="both"/>
              <w:rPr>
                <w:rFonts w:eastAsiaTheme="minorEastAsia"/>
                <w:b w:val="0"/>
                <w:szCs w:val="24"/>
              </w:rPr>
            </w:pPr>
            <w:r>
              <w:rPr>
                <w:rFonts w:hint="eastAsia" w:eastAsiaTheme="minorEastAsia"/>
                <w:b w:val="0"/>
                <w:szCs w:val="24"/>
              </w:rPr>
              <w:t>代县鑫路通石料厂</w:t>
            </w:r>
          </w:p>
          <w:p>
            <w:pPr>
              <w:pStyle w:val="238"/>
              <w:spacing w:line="500" w:lineRule="exact"/>
              <w:ind w:firstLine="482" w:firstLineChars="200"/>
              <w:jc w:val="both"/>
              <w:rPr>
                <w:rFonts w:eastAsiaTheme="minorEastAsia"/>
                <w:szCs w:val="24"/>
              </w:rPr>
            </w:pPr>
            <w:r>
              <w:rPr>
                <w:rFonts w:eastAsiaTheme="minorEastAsia"/>
                <w:szCs w:val="24"/>
              </w:rPr>
              <w:t>3</w:t>
            </w:r>
            <w:r>
              <w:rPr>
                <w:rFonts w:hint="eastAsia" w:eastAsiaTheme="minorEastAsia"/>
                <w:szCs w:val="24"/>
              </w:rPr>
              <w:t>、</w:t>
            </w:r>
            <w:r>
              <w:rPr>
                <w:rFonts w:eastAsiaTheme="minorEastAsia"/>
                <w:szCs w:val="24"/>
              </w:rPr>
              <w:t>建设性质</w:t>
            </w:r>
          </w:p>
          <w:p>
            <w:pPr>
              <w:pStyle w:val="238"/>
              <w:spacing w:line="500" w:lineRule="exact"/>
              <w:ind w:firstLine="480" w:firstLineChars="200"/>
              <w:jc w:val="both"/>
              <w:rPr>
                <w:rFonts w:eastAsiaTheme="minorEastAsia"/>
                <w:b w:val="0"/>
                <w:szCs w:val="24"/>
              </w:rPr>
            </w:pPr>
            <w:r>
              <w:rPr>
                <w:rFonts w:eastAsiaTheme="minorEastAsia"/>
                <w:b w:val="0"/>
                <w:szCs w:val="24"/>
              </w:rPr>
              <w:t>新建</w:t>
            </w:r>
          </w:p>
          <w:p>
            <w:pPr>
              <w:pStyle w:val="238"/>
              <w:spacing w:line="500" w:lineRule="exact"/>
              <w:ind w:firstLine="482" w:firstLineChars="200"/>
              <w:jc w:val="both"/>
              <w:rPr>
                <w:rFonts w:eastAsiaTheme="minorEastAsia"/>
                <w:szCs w:val="24"/>
              </w:rPr>
            </w:pPr>
            <w:r>
              <w:rPr>
                <w:rFonts w:eastAsiaTheme="minorEastAsia"/>
                <w:szCs w:val="24"/>
              </w:rPr>
              <w:t>4</w:t>
            </w:r>
            <w:r>
              <w:rPr>
                <w:rFonts w:hint="eastAsia" w:eastAsiaTheme="minorEastAsia"/>
                <w:szCs w:val="24"/>
              </w:rPr>
              <w:t>、</w:t>
            </w:r>
            <w:r>
              <w:rPr>
                <w:rFonts w:eastAsiaTheme="minorEastAsia"/>
                <w:szCs w:val="24"/>
              </w:rPr>
              <w:t>工程投资</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本项目总投资</w:t>
            </w:r>
            <w:r>
              <w:rPr>
                <w:rFonts w:hint="eastAsia" w:ascii="Times New Roman" w:hAnsi="Times New Roman" w:cs="Times New Roman"/>
                <w:sz w:val="24"/>
                <w:szCs w:val="24"/>
              </w:rPr>
              <w:t>150</w:t>
            </w:r>
            <w:r>
              <w:rPr>
                <w:rFonts w:ascii="Times New Roman" w:hAnsi="Times New Roman" w:cs="Times New Roman"/>
                <w:sz w:val="24"/>
                <w:szCs w:val="24"/>
              </w:rPr>
              <w:t>万元，所需资金由企业自筹解决。</w:t>
            </w:r>
          </w:p>
          <w:p>
            <w:pPr>
              <w:pStyle w:val="238"/>
              <w:spacing w:line="500" w:lineRule="exact"/>
              <w:ind w:firstLine="482" w:firstLineChars="200"/>
              <w:jc w:val="both"/>
              <w:rPr>
                <w:rFonts w:eastAsiaTheme="minorEastAsia"/>
                <w:szCs w:val="24"/>
              </w:rPr>
            </w:pPr>
            <w:r>
              <w:rPr>
                <w:rFonts w:eastAsiaTheme="minorEastAsia"/>
                <w:szCs w:val="24"/>
              </w:rPr>
              <w:t>5</w:t>
            </w:r>
            <w:r>
              <w:rPr>
                <w:rFonts w:hint="eastAsia" w:eastAsiaTheme="minorEastAsia"/>
                <w:szCs w:val="24"/>
              </w:rPr>
              <w:t>、</w:t>
            </w:r>
            <w:r>
              <w:rPr>
                <w:rFonts w:eastAsiaTheme="minorEastAsia"/>
                <w:szCs w:val="24"/>
              </w:rPr>
              <w:t>建设地点</w:t>
            </w:r>
          </w:p>
          <w:p>
            <w:pPr>
              <w:pStyle w:val="238"/>
              <w:spacing w:line="500" w:lineRule="exact"/>
              <w:ind w:firstLine="480" w:firstLineChars="200"/>
              <w:jc w:val="both"/>
              <w:rPr>
                <w:rFonts w:eastAsiaTheme="minorEastAsia"/>
                <w:b w:val="0"/>
                <w:szCs w:val="24"/>
              </w:rPr>
            </w:pPr>
            <w:r>
              <w:rPr>
                <w:rFonts w:hint="eastAsia" w:eastAsiaTheme="minorEastAsia"/>
                <w:b w:val="0"/>
                <w:kern w:val="0"/>
                <w:szCs w:val="24"/>
              </w:rPr>
              <w:t>代县鑫路通石料厂</w:t>
            </w:r>
            <w:r>
              <w:rPr>
                <w:rFonts w:eastAsiaTheme="minorEastAsia"/>
                <w:b w:val="0"/>
                <w:kern w:val="0"/>
                <w:szCs w:val="24"/>
              </w:rPr>
              <w:t>位于</w:t>
            </w:r>
            <w:r>
              <w:rPr>
                <w:rFonts w:hint="eastAsia" w:eastAsiaTheme="minorEastAsia"/>
                <w:b w:val="0"/>
                <w:kern w:val="0"/>
                <w:szCs w:val="24"/>
              </w:rPr>
              <w:t>山西省忻州市代县新高乡周流村南</w:t>
            </w:r>
            <w:r>
              <w:rPr>
                <w:rFonts w:eastAsiaTheme="minorEastAsia"/>
                <w:b w:val="0"/>
                <w:kern w:val="0"/>
                <w:szCs w:val="24"/>
              </w:rPr>
              <w:t>，行政区划属</w:t>
            </w:r>
            <w:r>
              <w:rPr>
                <w:rFonts w:eastAsiaTheme="minorEastAsia"/>
                <w:b w:val="0"/>
                <w:szCs w:val="24"/>
              </w:rPr>
              <w:t>代县</w:t>
            </w:r>
            <w:r>
              <w:rPr>
                <w:rFonts w:hint="eastAsia" w:eastAsiaTheme="minorEastAsia"/>
                <w:b w:val="0"/>
                <w:kern w:val="0"/>
                <w:szCs w:val="24"/>
              </w:rPr>
              <w:t>新高乡</w:t>
            </w:r>
            <w:r>
              <w:rPr>
                <w:rFonts w:hint="eastAsia" w:eastAsiaTheme="minorEastAsia"/>
                <w:b w:val="0"/>
                <w:szCs w:val="24"/>
              </w:rPr>
              <w:t>张村</w:t>
            </w:r>
            <w:r>
              <w:rPr>
                <w:rFonts w:eastAsiaTheme="minorEastAsia"/>
                <w:b w:val="0"/>
                <w:kern w:val="0"/>
                <w:szCs w:val="24"/>
              </w:rPr>
              <w:t>管辖。厂址中心地理坐标为东经11</w:t>
            </w:r>
            <w:r>
              <w:rPr>
                <w:rFonts w:hint="eastAsia" w:eastAsiaTheme="minorEastAsia"/>
                <w:b w:val="0"/>
                <w:kern w:val="0"/>
                <w:szCs w:val="24"/>
              </w:rPr>
              <w:t>2.545266</w:t>
            </w:r>
            <w:r>
              <w:rPr>
                <w:rFonts w:eastAsiaTheme="minorEastAsia"/>
                <w:b w:val="0"/>
                <w:kern w:val="0"/>
                <w:szCs w:val="24"/>
              </w:rPr>
              <w:t>°，北纬</w:t>
            </w:r>
            <w:r>
              <w:rPr>
                <w:rFonts w:hint="eastAsia" w:eastAsiaTheme="minorEastAsia"/>
                <w:b w:val="0"/>
                <w:kern w:val="0"/>
                <w:szCs w:val="24"/>
              </w:rPr>
              <w:t>38.580691</w:t>
            </w:r>
            <w:r>
              <w:rPr>
                <w:rFonts w:eastAsiaTheme="minorEastAsia"/>
                <w:b w:val="0"/>
                <w:kern w:val="0"/>
                <w:szCs w:val="24"/>
              </w:rPr>
              <w:t>°。本项目北侧为</w:t>
            </w:r>
            <w:r>
              <w:rPr>
                <w:rFonts w:hint="eastAsia" w:eastAsiaTheme="minorEastAsia"/>
                <w:b w:val="0"/>
                <w:kern w:val="0"/>
                <w:szCs w:val="24"/>
              </w:rPr>
              <w:t>闲置空地和农田，再往北为选矿厂</w:t>
            </w:r>
            <w:r>
              <w:rPr>
                <w:rFonts w:eastAsiaTheme="minorEastAsia"/>
                <w:b w:val="0"/>
                <w:kern w:val="0"/>
                <w:szCs w:val="24"/>
              </w:rPr>
              <w:t>，</w:t>
            </w:r>
            <w:r>
              <w:rPr>
                <w:rFonts w:hint="eastAsia" w:eastAsiaTheme="minorEastAsia"/>
                <w:b w:val="0"/>
                <w:kern w:val="0"/>
                <w:szCs w:val="24"/>
              </w:rPr>
              <w:t>东</w:t>
            </w:r>
            <w:r>
              <w:rPr>
                <w:rFonts w:eastAsiaTheme="minorEastAsia"/>
                <w:b w:val="0"/>
                <w:kern w:val="0"/>
                <w:szCs w:val="24"/>
              </w:rPr>
              <w:t>侧为</w:t>
            </w:r>
            <w:r>
              <w:rPr>
                <w:rFonts w:hint="eastAsia" w:eastAsiaTheme="minorEastAsia"/>
                <w:b w:val="0"/>
                <w:kern w:val="0"/>
                <w:szCs w:val="24"/>
              </w:rPr>
              <w:t>林地，再往东为选矿厂</w:t>
            </w:r>
            <w:r>
              <w:rPr>
                <w:rFonts w:eastAsiaTheme="minorEastAsia"/>
                <w:b w:val="0"/>
                <w:kern w:val="0"/>
                <w:szCs w:val="24"/>
              </w:rPr>
              <w:t>，南侧为</w:t>
            </w:r>
            <w:r>
              <w:rPr>
                <w:rFonts w:hint="eastAsia" w:eastAsiaTheme="minorEastAsia"/>
                <w:b w:val="0"/>
                <w:kern w:val="0"/>
                <w:szCs w:val="24"/>
              </w:rPr>
              <w:t>选矿厂</w:t>
            </w:r>
            <w:r>
              <w:rPr>
                <w:rFonts w:eastAsiaTheme="minorEastAsia"/>
                <w:b w:val="0"/>
                <w:kern w:val="0"/>
                <w:szCs w:val="24"/>
              </w:rPr>
              <w:t>，</w:t>
            </w:r>
            <w:r>
              <w:rPr>
                <w:rFonts w:hint="eastAsia" w:eastAsiaTheme="minorEastAsia"/>
                <w:b w:val="0"/>
                <w:kern w:val="0"/>
                <w:szCs w:val="24"/>
              </w:rPr>
              <w:t>西侧为空地</w:t>
            </w:r>
            <w:r>
              <w:rPr>
                <w:rFonts w:hint="eastAsia" w:eastAsiaTheme="minorEastAsia"/>
                <w:b w:val="0"/>
                <w:color w:val="000000" w:themeColor="text1"/>
                <w:kern w:val="0"/>
                <w:szCs w:val="24"/>
                <w:lang w:eastAsia="zh-CN"/>
              </w:rPr>
              <w:t>。本项目占地为非耕地，</w:t>
            </w:r>
            <w:r>
              <w:rPr>
                <w:rFonts w:eastAsiaTheme="minorEastAsia"/>
                <w:b w:val="0"/>
                <w:color w:val="000000" w:themeColor="text1"/>
                <w:kern w:val="0"/>
                <w:szCs w:val="24"/>
              </w:rPr>
              <w:t>土地手续见附件3。</w:t>
            </w:r>
          </w:p>
          <w:p>
            <w:pPr>
              <w:tabs>
                <w:tab w:val="left" w:pos="1710"/>
              </w:tabs>
              <w:autoSpaceDE w:val="0"/>
              <w:autoSpaceDN w:val="0"/>
              <w:adjustRightInd w:val="0"/>
              <w:spacing w:line="500" w:lineRule="exact"/>
              <w:ind w:firstLine="480" w:firstLineChars="200"/>
              <w:rPr>
                <w:rFonts w:ascii="Times New Roman" w:hAnsi="Times New Roman" w:cs="Times New Roman"/>
                <w:kern w:val="10"/>
                <w:sz w:val="24"/>
                <w:szCs w:val="24"/>
              </w:rPr>
            </w:pPr>
            <w:r>
              <w:rPr>
                <w:rFonts w:ascii="Times New Roman" w:hAnsi="Times New Roman" w:cs="Times New Roman"/>
                <w:kern w:val="10"/>
                <w:sz w:val="24"/>
                <w:szCs w:val="24"/>
              </w:rPr>
              <w:t>地理位置图见附图1</w:t>
            </w:r>
            <w:r>
              <w:rPr>
                <w:rFonts w:ascii="Times New Roman" w:hAnsi="Times New Roman" w:cs="Times New Roman"/>
                <w:sz w:val="24"/>
                <w:szCs w:val="24"/>
              </w:rPr>
              <w:t>，</w:t>
            </w:r>
            <w:r>
              <w:rPr>
                <w:rFonts w:ascii="Times New Roman" w:hAnsi="Times New Roman" w:cs="Times New Roman"/>
                <w:bCs/>
                <w:sz w:val="24"/>
                <w:szCs w:val="24"/>
              </w:rPr>
              <w:t>周边四邻关系见附图2。</w:t>
            </w:r>
          </w:p>
          <w:p>
            <w:pPr>
              <w:pStyle w:val="238"/>
              <w:spacing w:line="500" w:lineRule="exact"/>
              <w:ind w:firstLine="482" w:firstLineChars="200"/>
              <w:jc w:val="both"/>
              <w:rPr>
                <w:rFonts w:eastAsiaTheme="minorEastAsia"/>
                <w:szCs w:val="24"/>
              </w:rPr>
            </w:pPr>
            <w:r>
              <w:rPr>
                <w:rFonts w:eastAsiaTheme="minorEastAsia"/>
                <w:szCs w:val="24"/>
              </w:rPr>
              <w:t>6</w:t>
            </w:r>
            <w:r>
              <w:rPr>
                <w:rFonts w:hint="eastAsia" w:eastAsiaTheme="minorEastAsia"/>
                <w:szCs w:val="24"/>
              </w:rPr>
              <w:t>、</w:t>
            </w:r>
            <w:r>
              <w:rPr>
                <w:rFonts w:eastAsiaTheme="minorEastAsia"/>
                <w:szCs w:val="24"/>
              </w:rPr>
              <w:t>厂区平面布置</w:t>
            </w:r>
          </w:p>
          <w:p>
            <w:pPr>
              <w:spacing w:line="500" w:lineRule="exact"/>
              <w:ind w:firstLine="562"/>
              <w:rPr>
                <w:rFonts w:ascii="Times New Roman" w:hAnsi="Times New Roman" w:cs="Times New Roman"/>
                <w:kern w:val="0"/>
                <w:sz w:val="24"/>
                <w:szCs w:val="24"/>
              </w:rPr>
            </w:pPr>
            <w:r>
              <w:rPr>
                <w:rFonts w:ascii="Times New Roman" w:hAnsi="Times New Roman" w:cs="Times New Roman"/>
                <w:kern w:val="0"/>
                <w:sz w:val="24"/>
                <w:szCs w:val="24"/>
              </w:rPr>
              <w:t>厂区布置结构简单，有</w:t>
            </w:r>
            <w:r>
              <w:rPr>
                <w:rFonts w:hint="eastAsia" w:ascii="Times New Roman" w:hAnsi="Times New Roman" w:cs="Times New Roman"/>
                <w:kern w:val="0"/>
                <w:sz w:val="24"/>
                <w:szCs w:val="24"/>
              </w:rPr>
              <w:t>原料库、生产车间、成品库及办公生活</w:t>
            </w:r>
            <w:r>
              <w:rPr>
                <w:rFonts w:ascii="Times New Roman" w:hAnsi="Times New Roman" w:cs="Times New Roman"/>
                <w:kern w:val="0"/>
                <w:sz w:val="24"/>
                <w:szCs w:val="24"/>
              </w:rPr>
              <w:t>等构建筑物。</w:t>
            </w:r>
            <w:r>
              <w:rPr>
                <w:rFonts w:hint="eastAsia" w:ascii="Times New Roman" w:hAnsi="Times New Roman" w:cs="Times New Roman"/>
                <w:kern w:val="0"/>
                <w:sz w:val="24"/>
                <w:szCs w:val="24"/>
              </w:rPr>
              <w:t>生产车间、原料库和成品库在厂区依次从北向南布置，办公及生活区位于厂区东侧</w:t>
            </w:r>
            <w:r>
              <w:rPr>
                <w:rFonts w:ascii="Times New Roman" w:hAnsi="Times New Roman" w:cs="Times New Roman"/>
                <w:kern w:val="0"/>
                <w:sz w:val="24"/>
                <w:szCs w:val="24"/>
              </w:rPr>
              <w:t>。</w:t>
            </w:r>
          </w:p>
          <w:p>
            <w:pPr>
              <w:spacing w:line="500" w:lineRule="exact"/>
              <w:ind w:firstLine="562"/>
              <w:rPr>
                <w:rFonts w:ascii="Times New Roman" w:hAnsi="Times New Roman" w:cs="Times New Roman"/>
                <w:kern w:val="0"/>
                <w:sz w:val="24"/>
                <w:szCs w:val="24"/>
              </w:rPr>
            </w:pPr>
            <w:r>
              <w:rPr>
                <w:rFonts w:ascii="Times New Roman" w:hAnsi="Times New Roman" w:cs="Times New Roman"/>
                <w:sz w:val="24"/>
                <w:szCs w:val="24"/>
              </w:rPr>
              <w:t>项目平面布置符合生产的合理要求，使企业各生产环节具有良好的联系，各建筑物布置合理，方便于生产运营过程物料的取用暂存。从工程平面布置图进行分析并结合现场情况来看，平面布设充分利用场地，做到了功能分区合理，本项目总体布局合理。</w:t>
            </w:r>
            <w:r>
              <w:rPr>
                <w:rFonts w:ascii="Times New Roman" w:hAnsi="Times New Roman" w:cs="Times New Roman"/>
                <w:kern w:val="0"/>
                <w:sz w:val="24"/>
                <w:szCs w:val="24"/>
              </w:rPr>
              <w:t>本项目厂区平面布置图详见附图3。</w:t>
            </w:r>
          </w:p>
          <w:p>
            <w:pPr>
              <w:pStyle w:val="238"/>
              <w:spacing w:line="500" w:lineRule="exact"/>
              <w:ind w:firstLine="482" w:firstLineChars="200"/>
              <w:jc w:val="both"/>
              <w:rPr>
                <w:rFonts w:eastAsiaTheme="minorEastAsia"/>
                <w:szCs w:val="24"/>
              </w:rPr>
            </w:pPr>
            <w:r>
              <w:rPr>
                <w:rFonts w:eastAsiaTheme="minorEastAsia"/>
                <w:szCs w:val="24"/>
              </w:rPr>
              <w:t>7</w:t>
            </w:r>
            <w:r>
              <w:rPr>
                <w:rFonts w:hint="eastAsia" w:eastAsiaTheme="minorEastAsia"/>
                <w:szCs w:val="24"/>
              </w:rPr>
              <w:t>、</w:t>
            </w:r>
            <w:r>
              <w:rPr>
                <w:rFonts w:eastAsiaTheme="minorEastAsia"/>
                <w:szCs w:val="24"/>
              </w:rPr>
              <w:t xml:space="preserve">工程内容 </w:t>
            </w:r>
          </w:p>
          <w:p>
            <w:pPr>
              <w:spacing w:line="500" w:lineRule="exact"/>
              <w:ind w:firstLine="480" w:firstLineChars="200"/>
              <w:textAlignment w:val="baseline"/>
              <w:rPr>
                <w:rFonts w:ascii="Times New Roman" w:hAnsi="Times New Roman" w:cs="Times New Roman"/>
                <w:sz w:val="24"/>
                <w:szCs w:val="24"/>
              </w:rPr>
            </w:pPr>
            <w:r>
              <w:rPr>
                <w:rFonts w:ascii="Times New Roman" w:hAnsi="Times New Roman" w:cs="Times New Roman"/>
                <w:bCs/>
                <w:sz w:val="24"/>
                <w:szCs w:val="24"/>
              </w:rPr>
              <w:t>本</w:t>
            </w:r>
            <w:r>
              <w:rPr>
                <w:rFonts w:ascii="Times New Roman" w:hAnsi="Times New Roman" w:cs="Times New Roman"/>
                <w:sz w:val="24"/>
                <w:szCs w:val="24"/>
              </w:rPr>
              <w:t>项目建设内容包括</w:t>
            </w:r>
            <w:r>
              <w:rPr>
                <w:rFonts w:hint="eastAsia" w:ascii="Times New Roman" w:hAnsi="Times New Roman" w:cs="Times New Roman"/>
                <w:sz w:val="24"/>
                <w:szCs w:val="24"/>
              </w:rPr>
              <w:t>新建厂房600平方米，办公用房125平方米，购置主要生产设备</w:t>
            </w:r>
            <w:r>
              <w:rPr>
                <w:rFonts w:ascii="Times New Roman" w:hAnsi="Times New Roman" w:cs="Times New Roman"/>
                <w:sz w:val="24"/>
                <w:szCs w:val="24"/>
              </w:rPr>
              <w:t>。具体建设项目组成见表1-1。</w:t>
            </w:r>
          </w:p>
          <w:p>
            <w:pPr>
              <w:spacing w:line="500" w:lineRule="exact"/>
              <w:ind w:right="113"/>
              <w:jc w:val="center"/>
              <w:rPr>
                <w:rFonts w:ascii="Times New Roman" w:hAnsi="Times New Roman" w:cs="Times New Roman"/>
                <w:b/>
                <w:bCs/>
                <w:color w:val="000000"/>
                <w:kern w:val="0"/>
                <w:szCs w:val="21"/>
              </w:rPr>
            </w:pPr>
            <w:r>
              <w:rPr>
                <w:rFonts w:ascii="Times New Roman" w:hAnsi="Times New Roman" w:cs="Times New Roman"/>
                <w:b/>
                <w:bCs/>
                <w:kern w:val="0"/>
                <w:szCs w:val="21"/>
              </w:rPr>
              <w:t>表1-1 项目工程内容组成一览表</w:t>
            </w:r>
          </w:p>
          <w:tbl>
            <w:tblPr>
              <w:tblStyle w:val="40"/>
              <w:tblW w:w="9071"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39"/>
              <w:gridCol w:w="135"/>
              <w:gridCol w:w="1247"/>
              <w:gridCol w:w="5509"/>
              <w:gridCol w:w="81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工程类别</w:t>
                  </w: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项目内容</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项目组成及规模</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28"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主体工程</w:t>
                  </w: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bCs/>
                      <w:szCs w:val="21"/>
                    </w:rPr>
                    <w:t>生产车间</w:t>
                  </w:r>
                </w:p>
              </w:tc>
              <w:tc>
                <w:tcPr>
                  <w:tcW w:w="5509" w:type="dxa"/>
                  <w:tcBorders>
                    <w:tl2br w:val="nil"/>
                    <w:tr2bl w:val="nil"/>
                  </w:tcBorders>
                  <w:vAlign w:val="center"/>
                </w:tcPr>
                <w:p>
                  <w:pPr>
                    <w:ind w:right="113"/>
                    <w:jc w:val="center"/>
                    <w:rPr>
                      <w:rFonts w:ascii="Times New Roman" w:hAnsi="Times New Roman" w:cs="Times New Roman"/>
                      <w:bCs/>
                      <w:kern w:val="0"/>
                      <w:szCs w:val="21"/>
                    </w:rPr>
                  </w:pPr>
                  <w:r>
                    <w:rPr>
                      <w:rFonts w:hint="eastAsia" w:ascii="Times New Roman" w:hAnsi="Times New Roman" w:cs="Times New Roman"/>
                      <w:bCs/>
                      <w:kern w:val="0"/>
                      <w:szCs w:val="21"/>
                    </w:rPr>
                    <w:t>建筑面积为600平方米，钢结构厂房，全封闭车间，地面硬化；设</w:t>
                  </w:r>
                  <w:r>
                    <w:rPr>
                      <w:rFonts w:hint="eastAsia" w:ascii="Times New Roman" w:hAnsi="Times New Roman" w:eastAsia="宋体" w:cs="Times New Roman"/>
                      <w:kern w:val="0"/>
                      <w:szCs w:val="21"/>
                      <w:lang w:eastAsia="zh-CN"/>
                    </w:rPr>
                    <w:t>进</w:t>
                  </w:r>
                  <w:r>
                    <w:rPr>
                      <w:rFonts w:hint="eastAsia" w:ascii="Times New Roman" w:hAnsi="Times New Roman" w:eastAsia="宋体" w:cs="Times New Roman"/>
                      <w:kern w:val="0"/>
                      <w:szCs w:val="21"/>
                    </w:rPr>
                    <w:t>料机1台，</w:t>
                  </w:r>
                  <w:r>
                    <w:rPr>
                      <w:rFonts w:hint="eastAsia" w:ascii="Times New Roman" w:hAnsi="Times New Roman" w:cs="Times New Roman"/>
                      <w:bCs/>
                      <w:kern w:val="0"/>
                      <w:szCs w:val="21"/>
                    </w:rPr>
                    <w:t>颚式破碎机1台，锤式破碎机1台，</w:t>
                  </w:r>
                  <w:r>
                    <w:rPr>
                      <w:rFonts w:hint="eastAsia" w:ascii="Times New Roman" w:hAnsi="Times New Roman" w:eastAsia="宋体" w:cs="Times New Roman"/>
                      <w:kern w:val="0"/>
                      <w:szCs w:val="21"/>
                    </w:rPr>
                    <w:t>振动筛1台，皮带输送机分别连接原料库和成品库；</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828" w:type="dxa"/>
                  <w:vMerge w:val="restart"/>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储运工程</w:t>
                  </w:r>
                </w:p>
              </w:tc>
              <w:tc>
                <w:tcPr>
                  <w:tcW w:w="1921" w:type="dxa"/>
                  <w:gridSpan w:val="3"/>
                  <w:tcBorders>
                    <w:tl2br w:val="nil"/>
                    <w:tr2bl w:val="nil"/>
                  </w:tcBorders>
                  <w:vAlign w:val="center"/>
                </w:tcPr>
                <w:p>
                  <w:pPr>
                    <w:ind w:right="113"/>
                    <w:jc w:val="center"/>
                    <w:rPr>
                      <w:rFonts w:ascii="Times New Roman" w:hAnsi="Times New Roman" w:cs="Times New Roman"/>
                      <w:bCs/>
                      <w:szCs w:val="21"/>
                    </w:rPr>
                  </w:pPr>
                  <w:r>
                    <w:rPr>
                      <w:rFonts w:hint="eastAsia" w:ascii="Times New Roman" w:hAnsi="Times New Roman" w:cs="Times New Roman"/>
                      <w:kern w:val="0"/>
                      <w:szCs w:val="21"/>
                    </w:rPr>
                    <w:t>原料库</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bCs/>
                      <w:kern w:val="0"/>
                      <w:szCs w:val="21"/>
                    </w:rPr>
                    <w:t>用于原料储存，建筑面积为1000平方米，钢结构厂房，全封闭车间，地面硬化；</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828" w:type="dxa"/>
                  <w:vMerge w:val="continue"/>
                  <w:tcBorders>
                    <w:tl2br w:val="nil"/>
                    <w:tr2bl w:val="nil"/>
                  </w:tcBorders>
                  <w:vAlign w:val="center"/>
                </w:tcPr>
                <w:p>
                  <w:pPr>
                    <w:pStyle w:val="2"/>
                  </w:pPr>
                </w:p>
              </w:tc>
              <w:tc>
                <w:tcPr>
                  <w:tcW w:w="1921" w:type="dxa"/>
                  <w:gridSpan w:val="3"/>
                  <w:tcBorders>
                    <w:tl2br w:val="nil"/>
                    <w:tr2bl w:val="nil"/>
                  </w:tcBorders>
                  <w:vAlign w:val="center"/>
                </w:tcPr>
                <w:p>
                  <w:pPr>
                    <w:ind w:right="113"/>
                    <w:jc w:val="center"/>
                    <w:rPr>
                      <w:rFonts w:ascii="Times New Roman" w:hAnsi="Times New Roman" w:cs="Times New Roman"/>
                      <w:bCs/>
                      <w:szCs w:val="21"/>
                    </w:rPr>
                  </w:pPr>
                  <w:r>
                    <w:rPr>
                      <w:rFonts w:hint="eastAsia" w:ascii="Times New Roman" w:hAnsi="Times New Roman" w:cs="Times New Roman"/>
                      <w:bCs/>
                      <w:szCs w:val="21"/>
                    </w:rPr>
                    <w:t>成品库</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用于成品石料存放</w:t>
                  </w:r>
                  <w:r>
                    <w:rPr>
                      <w:rFonts w:hint="eastAsia" w:ascii="Times New Roman" w:hAnsi="Times New Roman" w:cs="Times New Roman"/>
                      <w:bCs/>
                      <w:kern w:val="0"/>
                      <w:szCs w:val="21"/>
                    </w:rPr>
                    <w:t>，建筑面积为1000平方米，钢结构厂房，全封闭车间，地面硬化；两种产品分区堆放；</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921" w:type="dxa"/>
                  <w:gridSpan w:val="3"/>
                  <w:tcBorders>
                    <w:tl2br w:val="nil"/>
                    <w:tr2bl w:val="nil"/>
                  </w:tcBorders>
                  <w:vAlign w:val="center"/>
                </w:tcPr>
                <w:p>
                  <w:pPr>
                    <w:ind w:right="113"/>
                    <w:jc w:val="center"/>
                    <w:rPr>
                      <w:rFonts w:ascii="Times New Roman" w:hAnsi="Times New Roman" w:cs="Times New Roman"/>
                      <w:bCs/>
                      <w:szCs w:val="21"/>
                    </w:rPr>
                  </w:pPr>
                  <w:r>
                    <w:rPr>
                      <w:rFonts w:ascii="Times New Roman" w:hAnsi="Times New Roman" w:cs="Times New Roman"/>
                      <w:kern w:val="0"/>
                      <w:szCs w:val="21"/>
                    </w:rPr>
                    <w:t>进场道路</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进场道路路面硬化处理</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28"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辅助工程</w:t>
                  </w: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洗车台</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位于厂区出口，设置1座</w:t>
                  </w:r>
                  <w:r>
                    <w:rPr>
                      <w:rFonts w:hint="eastAsia" w:ascii="Times New Roman" w:hAnsi="Times New Roman" w:cs="Times New Roman"/>
                      <w:kern w:val="0"/>
                      <w:szCs w:val="21"/>
                    </w:rPr>
                    <w:t>自动</w:t>
                  </w:r>
                  <w:r>
                    <w:rPr>
                      <w:rFonts w:ascii="Times New Roman" w:hAnsi="Times New Roman" w:cs="Times New Roman"/>
                      <w:kern w:val="0"/>
                      <w:szCs w:val="21"/>
                    </w:rPr>
                    <w:t>洗车台</w:t>
                  </w:r>
                  <w:r>
                    <w:rPr>
                      <w:rFonts w:hint="eastAsia" w:ascii="Times New Roman" w:hAnsi="Times New Roman" w:cs="Times New Roman"/>
                      <w:kern w:val="0"/>
                      <w:szCs w:val="21"/>
                    </w:rPr>
                    <w:t>、1座5</w:t>
                  </w:r>
                  <w:r>
                    <w:rPr>
                      <w:rFonts w:ascii="Times New Roman" w:hAnsi="Times New Roman" w:cs="Times New Roman"/>
                      <w:kern w:val="0"/>
                      <w:szCs w:val="21"/>
                    </w:rPr>
                    <w:t>m</w:t>
                  </w:r>
                  <w:r>
                    <w:rPr>
                      <w:rFonts w:ascii="Times New Roman" w:hAnsi="Times New Roman" w:cs="Times New Roman"/>
                      <w:kern w:val="0"/>
                      <w:szCs w:val="21"/>
                      <w:vertAlign w:val="superscript"/>
                    </w:rPr>
                    <w:t>3</w:t>
                  </w:r>
                  <w:r>
                    <w:rPr>
                      <w:rFonts w:ascii="Times New Roman" w:hAnsi="Times New Roman" w:cs="Times New Roman"/>
                      <w:kern w:val="0"/>
                      <w:szCs w:val="21"/>
                    </w:rPr>
                    <w:t>沉淀池</w:t>
                  </w:r>
                  <w:r>
                    <w:rPr>
                      <w:rFonts w:hint="eastAsia" w:ascii="Times New Roman" w:hAnsi="Times New Roman" w:cs="Times New Roman"/>
                      <w:kern w:val="0"/>
                      <w:szCs w:val="21"/>
                    </w:rPr>
                    <w:t>和1座5m</w:t>
                  </w:r>
                  <w:r>
                    <w:rPr>
                      <w:rFonts w:hint="eastAsia" w:ascii="Times New Roman" w:hAnsi="Times New Roman" w:cs="Times New Roman"/>
                      <w:kern w:val="0"/>
                      <w:szCs w:val="21"/>
                      <w:vertAlign w:val="superscript"/>
                    </w:rPr>
                    <w:t>3</w:t>
                  </w:r>
                  <w:r>
                    <w:rPr>
                      <w:rFonts w:hint="eastAsia" w:ascii="Times New Roman" w:hAnsi="Times New Roman" w:cs="Times New Roman"/>
                      <w:kern w:val="0"/>
                      <w:szCs w:val="21"/>
                    </w:rPr>
                    <w:t>清水池</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地磅</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设置电子汽车衡1台，对进出车</w:t>
                  </w:r>
                  <w:r>
                    <w:rPr>
                      <w:rFonts w:hint="eastAsia" w:ascii="Times New Roman" w:hAnsi="Times New Roman" w:cs="Times New Roman"/>
                      <w:kern w:val="0"/>
                      <w:szCs w:val="21"/>
                    </w:rPr>
                    <w:t>辆</w:t>
                  </w:r>
                  <w:r>
                    <w:rPr>
                      <w:rFonts w:ascii="Times New Roman" w:hAnsi="Times New Roman" w:cs="Times New Roman"/>
                      <w:kern w:val="0"/>
                      <w:szCs w:val="21"/>
                    </w:rPr>
                    <w:t>进行计量称重</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办公生活区</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单层砖混房，</w:t>
                  </w:r>
                  <w:r>
                    <w:rPr>
                      <w:rFonts w:hint="eastAsia" w:ascii="Times New Roman" w:hAnsi="Times New Roman" w:cs="Times New Roman"/>
                      <w:kern w:val="0"/>
                      <w:szCs w:val="21"/>
                    </w:rPr>
                    <w:t>建筑</w:t>
                  </w:r>
                  <w:r>
                    <w:rPr>
                      <w:rFonts w:ascii="Times New Roman" w:hAnsi="Times New Roman" w:cs="Times New Roman"/>
                      <w:kern w:val="0"/>
                      <w:szCs w:val="21"/>
                    </w:rPr>
                    <w:t>面积为</w:t>
                  </w:r>
                  <w:r>
                    <w:rPr>
                      <w:rFonts w:hint="eastAsia" w:ascii="Times New Roman" w:hAnsi="Times New Roman" w:eastAsia="宋体" w:cs="Times New Roman"/>
                      <w:bCs/>
                    </w:rPr>
                    <w:t>125</w:t>
                  </w:r>
                  <w:r>
                    <w:rPr>
                      <w:rFonts w:ascii="Times New Roman" w:hAnsi="Times New Roman" w:cs="Times New Roman"/>
                      <w:kern w:val="0"/>
                      <w:szCs w:val="21"/>
                    </w:rPr>
                    <w:t>m</w:t>
                  </w:r>
                  <w:r>
                    <w:rPr>
                      <w:rFonts w:ascii="Times New Roman" w:hAnsi="Times New Roman" w:cs="Times New Roman"/>
                      <w:kern w:val="0"/>
                      <w:szCs w:val="21"/>
                      <w:vertAlign w:val="superscript"/>
                    </w:rPr>
                    <w:t>2</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公用工程</w:t>
                  </w: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供电</w:t>
                  </w:r>
                </w:p>
              </w:tc>
              <w:tc>
                <w:tcPr>
                  <w:tcW w:w="5509" w:type="dxa"/>
                  <w:tcBorders>
                    <w:tl2br w:val="nil"/>
                    <w:tr2bl w:val="nil"/>
                  </w:tcBorders>
                  <w:vAlign w:val="center"/>
                </w:tcPr>
                <w:p>
                  <w:pPr>
                    <w:ind w:right="113"/>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由代县供电系统提供，自备变压器，年用电量为</w:t>
                  </w:r>
                  <w:r>
                    <w:rPr>
                      <w:rFonts w:hint="eastAsia" w:ascii="Times New Roman" w:hAnsi="Times New Roman" w:eastAsia="宋体" w:cs="Times New Roman"/>
                      <w:bCs/>
                      <w:color w:val="000000" w:themeColor="text1"/>
                    </w:rPr>
                    <w:t>20</w:t>
                  </w:r>
                  <w:r>
                    <w:rPr>
                      <w:rFonts w:ascii="Times New Roman" w:hAnsi="Times New Roman" w:eastAsia="宋体" w:cs="Times New Roman"/>
                      <w:bCs/>
                      <w:color w:val="000000" w:themeColor="text1"/>
                    </w:rPr>
                    <w:t>万kwh/a</w:t>
                  </w:r>
                </w:p>
              </w:tc>
              <w:tc>
                <w:tcPr>
                  <w:tcW w:w="813" w:type="dxa"/>
                  <w:tcBorders>
                    <w:tl2br w:val="nil"/>
                    <w:tr2bl w:val="nil"/>
                  </w:tcBorders>
                  <w:vAlign w:val="center"/>
                </w:tcPr>
                <w:p>
                  <w:pPr>
                    <w:ind w:right="113"/>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供水</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自备水井，水质水量可满足生产、生活用水</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采暖</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szCs w:val="21"/>
                    </w:rPr>
                    <w:t>冬季生产车间不采暖，办公区采暖使用电暖</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Merge w:val="restart"/>
                  <w:tcBorders>
                    <w:tl2br w:val="nil"/>
                    <w:tr2bl w:val="nil"/>
                  </w:tcBorders>
                  <w:vAlign w:val="center"/>
                </w:tcPr>
                <w:p>
                  <w:pPr>
                    <w:ind w:right="113"/>
                    <w:jc w:val="center"/>
                    <w:rPr>
                      <w:rFonts w:ascii="Times New Roman" w:hAnsi="Times New Roman" w:cs="Times New Roman"/>
                      <w:kern w:val="0"/>
                      <w:szCs w:val="21"/>
                      <w:highlight w:val="yellow"/>
                    </w:rPr>
                  </w:pPr>
                  <w:r>
                    <w:rPr>
                      <w:rFonts w:ascii="Times New Roman" w:hAnsi="Times New Roman" w:cs="Times New Roman"/>
                      <w:kern w:val="0"/>
                      <w:szCs w:val="21"/>
                    </w:rPr>
                    <w:t>环保工程</w:t>
                  </w:r>
                </w:p>
              </w:tc>
              <w:tc>
                <w:tcPr>
                  <w:tcW w:w="539"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大气</w:t>
                  </w:r>
                </w:p>
              </w:tc>
              <w:tc>
                <w:tcPr>
                  <w:tcW w:w="1382" w:type="dxa"/>
                  <w:gridSpan w:val="2"/>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szCs w:val="21"/>
                    </w:rPr>
                    <w:t>进料斗、破碎、振筛工序</w:t>
                  </w:r>
                </w:p>
              </w:tc>
              <w:tc>
                <w:tcPr>
                  <w:tcW w:w="5509" w:type="dxa"/>
                  <w:tcBorders>
                    <w:tl2br w:val="nil"/>
                    <w:tr2bl w:val="nil"/>
                  </w:tcBorders>
                  <w:vAlign w:val="center"/>
                </w:tcPr>
                <w:p>
                  <w:pPr>
                    <w:ind w:right="113"/>
                    <w:jc w:val="center"/>
                    <w:rPr>
                      <w:rFonts w:ascii="Times New Roman" w:hAnsi="Times New Roman" w:cs="Times New Roman"/>
                      <w:szCs w:val="21"/>
                    </w:rPr>
                  </w:pPr>
                  <w:r>
                    <w:rPr>
                      <w:rFonts w:hint="eastAsia" w:ascii="Times New Roman" w:hAnsi="Times New Roman" w:cs="Times New Roman"/>
                      <w:szCs w:val="21"/>
                    </w:rPr>
                    <w:t>在进料</w:t>
                  </w:r>
                  <w:r>
                    <w:rPr>
                      <w:rFonts w:hint="eastAsia" w:ascii="Times New Roman" w:hAnsi="Times New Roman" w:cs="Times New Roman"/>
                      <w:szCs w:val="21"/>
                      <w:lang w:eastAsia="zh-CN"/>
                    </w:rPr>
                    <w:t>机、</w:t>
                  </w:r>
                  <w:r>
                    <w:rPr>
                      <w:rFonts w:hint="eastAsia" w:ascii="Times New Roman" w:hAnsi="Times New Roman" w:cs="Times New Roman"/>
                      <w:szCs w:val="21"/>
                    </w:rPr>
                    <w:t>颚式破碎机、锤式破碎机、振筛机机上方设置</w:t>
                  </w:r>
                  <w:r>
                    <w:rPr>
                      <w:rFonts w:hint="eastAsia" w:ascii="Times New Roman" w:hAnsi="Times New Roman" w:cs="Times New Roman"/>
                      <w:szCs w:val="21"/>
                      <w:lang w:val="en-US" w:eastAsia="zh-CN"/>
                    </w:rPr>
                    <w:t>6</w:t>
                  </w:r>
                  <w:r>
                    <w:rPr>
                      <w:rFonts w:hint="eastAsia" w:ascii="Times New Roman" w:hAnsi="Times New Roman" w:cs="Times New Roman"/>
                      <w:szCs w:val="21"/>
                    </w:rPr>
                    <w:t>个集气罩收集废气，粉尘经收集引至1套袋式除尘器处理后通过1根15m高排气筒外排</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39"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82" w:type="dxa"/>
                  <w:gridSpan w:val="2"/>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color w:val="000000" w:themeColor="text1"/>
                      <w:szCs w:val="21"/>
                    </w:rPr>
                    <w:t>原料及产品堆放和</w:t>
                  </w:r>
                  <w:r>
                    <w:rPr>
                      <w:rFonts w:hint="eastAsia" w:ascii="Times New Roman" w:hAnsi="Times New Roman" w:cs="Times New Roman"/>
                      <w:szCs w:val="21"/>
                    </w:rPr>
                    <w:t>装卸</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车间通过在原料区、成品区各设置1套自动雾化喷淋设施喷淋降尘，喷雾范围为50m，可以实现全厂抑尘。物料全部入棚，上料口设置喷淋装置</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39"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82" w:type="dxa"/>
                  <w:gridSpan w:val="2"/>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转载</w:t>
                  </w:r>
                  <w:r>
                    <w:rPr>
                      <w:rFonts w:hint="eastAsia" w:ascii="Times New Roman" w:hAnsi="Times New Roman" w:cs="Times New Roman"/>
                      <w:kern w:val="0"/>
                      <w:szCs w:val="21"/>
                    </w:rPr>
                    <w:t>工序</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物料传送</w:t>
                  </w:r>
                  <w:r>
                    <w:rPr>
                      <w:rFonts w:ascii="Times New Roman" w:hAnsi="Times New Roman" w:cs="Times New Roman"/>
                      <w:kern w:val="0"/>
                      <w:szCs w:val="21"/>
                    </w:rPr>
                    <w:t>采用密封的皮带输送，原料密闭输送，落料点采用洒水抑尘</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39"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82" w:type="dxa"/>
                  <w:gridSpan w:val="2"/>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szCs w:val="21"/>
                    </w:rPr>
                    <w:t>运输</w:t>
                  </w:r>
                  <w:r>
                    <w:rPr>
                      <w:rFonts w:hint="eastAsia" w:ascii="Times New Roman" w:hAnsi="Times New Roman" w:cs="Times New Roman"/>
                      <w:szCs w:val="21"/>
                    </w:rPr>
                    <w:t>工序</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spacing w:val="4"/>
                      <w:szCs w:val="21"/>
                    </w:rPr>
                    <w:t>路面硬化，原料运输车辆采取汽车运输苫布遮盖、厂区内限制车速等措施</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39"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废水</w:t>
                  </w:r>
                </w:p>
              </w:tc>
              <w:tc>
                <w:tcPr>
                  <w:tcW w:w="1382" w:type="dxa"/>
                  <w:gridSpan w:val="2"/>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生活污水</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设防渗旱厕1座，委托当地村民定期清掏外运用于周边农田施肥，生活污水经沉淀后用于厂区洒水抑尘</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39"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82" w:type="dxa"/>
                  <w:gridSpan w:val="2"/>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生产废水</w:t>
                  </w:r>
                </w:p>
              </w:tc>
              <w:tc>
                <w:tcPr>
                  <w:tcW w:w="5509" w:type="dxa"/>
                  <w:tcBorders>
                    <w:tl2br w:val="nil"/>
                    <w:tr2bl w:val="nil"/>
                  </w:tcBorders>
                  <w:vAlign w:val="center"/>
                </w:tcPr>
                <w:p>
                  <w:pPr>
                    <w:ind w:right="113"/>
                    <w:jc w:val="center"/>
                    <w:rPr>
                      <w:rFonts w:ascii="Times New Roman" w:hAnsi="Times New Roman" w:cs="Times New Roman"/>
                      <w:bCs/>
                      <w:kern w:val="0"/>
                      <w:szCs w:val="21"/>
                    </w:rPr>
                  </w:pPr>
                  <w:r>
                    <w:rPr>
                      <w:rFonts w:hint="eastAsia" w:ascii="Times New Roman" w:hAnsi="Times New Roman" w:cs="Times New Roman"/>
                      <w:bCs/>
                      <w:kern w:val="0"/>
                      <w:szCs w:val="21"/>
                    </w:rPr>
                    <w:t>厂区门口设置1套车辆自动冲洗装置和沉淀池、清水池（各5m</w:t>
                  </w:r>
                  <w:r>
                    <w:rPr>
                      <w:rFonts w:hint="eastAsia" w:ascii="Times New Roman" w:hAnsi="Times New Roman" w:cs="Times New Roman"/>
                      <w:bCs/>
                      <w:kern w:val="0"/>
                      <w:szCs w:val="21"/>
                      <w:vertAlign w:val="superscript"/>
                    </w:rPr>
                    <w:t>3</w:t>
                  </w:r>
                  <w:r>
                    <w:rPr>
                      <w:rFonts w:hint="eastAsia" w:ascii="Times New Roman" w:hAnsi="Times New Roman" w:cs="Times New Roman"/>
                      <w:bCs/>
                      <w:kern w:val="0"/>
                      <w:szCs w:val="21"/>
                    </w:rPr>
                    <w:t>），洗车废水经沉淀池后循环使用，不外排</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39"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82" w:type="dxa"/>
                  <w:gridSpan w:val="2"/>
                  <w:vMerge w:val="continue"/>
                  <w:tcBorders>
                    <w:tl2br w:val="nil"/>
                    <w:tr2bl w:val="nil"/>
                  </w:tcBorders>
                  <w:vAlign w:val="center"/>
                </w:tcPr>
                <w:p>
                  <w:pPr>
                    <w:ind w:right="113"/>
                    <w:jc w:val="center"/>
                    <w:rPr>
                      <w:rFonts w:ascii="Times New Roman" w:hAnsi="Times New Roman" w:cs="Times New Roman"/>
                      <w:kern w:val="0"/>
                      <w:szCs w:val="21"/>
                    </w:rPr>
                  </w:pPr>
                </w:p>
              </w:tc>
              <w:tc>
                <w:tcPr>
                  <w:tcW w:w="5509" w:type="dxa"/>
                  <w:tcBorders>
                    <w:tl2br w:val="nil"/>
                    <w:tr2bl w:val="nil"/>
                  </w:tcBorders>
                  <w:vAlign w:val="center"/>
                </w:tcPr>
                <w:p>
                  <w:pPr>
                    <w:ind w:right="113"/>
                    <w:jc w:val="center"/>
                    <w:rPr>
                      <w:rFonts w:ascii="Times New Roman" w:hAnsi="Times New Roman" w:cs="Times New Roman"/>
                      <w:bCs/>
                      <w:kern w:val="0"/>
                      <w:szCs w:val="21"/>
                    </w:rPr>
                  </w:pPr>
                  <w:r>
                    <w:rPr>
                      <w:rFonts w:hint="eastAsia" w:ascii="Times New Roman" w:hAnsi="Times New Roman" w:cs="Times New Roman"/>
                      <w:bCs/>
                      <w:kern w:val="0"/>
                      <w:szCs w:val="21"/>
                    </w:rPr>
                    <w:t>喷淋装置降尘用水蒸发自然损失</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39"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82" w:type="dxa"/>
                  <w:gridSpan w:val="2"/>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初期雨水</w:t>
                  </w:r>
                </w:p>
              </w:tc>
              <w:tc>
                <w:tcPr>
                  <w:tcW w:w="5509" w:type="dxa"/>
                  <w:tcBorders>
                    <w:tl2br w:val="nil"/>
                    <w:tr2bl w:val="nil"/>
                  </w:tcBorders>
                  <w:vAlign w:val="center"/>
                </w:tcPr>
                <w:p>
                  <w:pPr>
                    <w:ind w:right="113"/>
                    <w:jc w:val="center"/>
                    <w:rPr>
                      <w:rFonts w:ascii="Times New Roman" w:hAnsi="Times New Roman" w:cs="Times New Roman"/>
                      <w:bCs/>
                      <w:kern w:val="0"/>
                      <w:szCs w:val="21"/>
                    </w:rPr>
                  </w:pPr>
                  <w:r>
                    <w:rPr>
                      <w:rFonts w:hint="eastAsia" w:ascii="Times New Roman" w:hAnsi="Times New Roman" w:cs="Times New Roman"/>
                      <w:bCs/>
                      <w:kern w:val="0"/>
                      <w:szCs w:val="21"/>
                    </w:rPr>
                    <w:t>设1座</w:t>
                  </w:r>
                  <w:r>
                    <w:rPr>
                      <w:rFonts w:hint="eastAsia" w:ascii="Times New Roman" w:hAnsi="Times New Roman" w:cs="Times New Roman"/>
                      <w:bCs/>
                      <w:kern w:val="0"/>
                      <w:szCs w:val="21"/>
                      <w:lang w:val="en-US" w:eastAsia="zh-CN"/>
                    </w:rPr>
                    <w:t>2</w:t>
                  </w:r>
                  <w:r>
                    <w:rPr>
                      <w:rFonts w:hint="eastAsia" w:ascii="Times New Roman" w:hAnsi="Times New Roman" w:cs="Times New Roman"/>
                      <w:bCs/>
                      <w:kern w:val="0"/>
                      <w:szCs w:val="21"/>
                    </w:rPr>
                    <w:t>00m</w:t>
                  </w:r>
                  <w:r>
                    <w:rPr>
                      <w:rFonts w:hint="eastAsia" w:ascii="Times New Roman" w:hAnsi="Times New Roman" w:cs="Times New Roman"/>
                      <w:bCs/>
                      <w:kern w:val="0"/>
                      <w:szCs w:val="21"/>
                      <w:vertAlign w:val="superscript"/>
                    </w:rPr>
                    <w:t>3</w:t>
                  </w:r>
                  <w:r>
                    <w:rPr>
                      <w:rFonts w:hint="eastAsia" w:ascii="Times New Roman" w:hAnsi="Times New Roman" w:cs="Times New Roman"/>
                      <w:bCs/>
                      <w:kern w:val="0"/>
                      <w:szCs w:val="21"/>
                    </w:rPr>
                    <w:t>的初期雨水收集池</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921"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噪声</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bCs/>
                      <w:kern w:val="0"/>
                      <w:szCs w:val="21"/>
                    </w:rPr>
                    <w:t>对机械设备采取基础减振，车间采取隔声，吸声等措施，</w:t>
                  </w:r>
                  <w:r>
                    <w:rPr>
                      <w:rFonts w:ascii="Times New Roman" w:hAnsi="Times New Roman" w:cs="Times New Roman"/>
                      <w:kern w:val="0"/>
                      <w:szCs w:val="21"/>
                    </w:rPr>
                    <w:t>减小噪声对环境的影响</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674" w:type="dxa"/>
                  <w:gridSpan w:val="2"/>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固废</w:t>
                  </w:r>
                </w:p>
              </w:tc>
              <w:tc>
                <w:tcPr>
                  <w:tcW w:w="1247"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生产固废</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除尘器收尘</w:t>
                  </w:r>
                  <w:r>
                    <w:rPr>
                      <w:rFonts w:hint="eastAsia" w:ascii="Times New Roman" w:hAnsi="Times New Roman" w:cs="Times New Roman"/>
                      <w:kern w:val="0"/>
                      <w:szCs w:val="21"/>
                    </w:rPr>
                    <w:t>收集后和2cm</w:t>
                  </w:r>
                  <w:r>
                    <w:rPr>
                      <w:rFonts w:hint="eastAsia" w:ascii="Times New Roman" w:hAnsi="Times New Roman" w:cs="Times New Roman"/>
                      <w:kern w:val="0"/>
                      <w:szCs w:val="21"/>
                      <w:lang w:eastAsia="zh-CN"/>
                    </w:rPr>
                    <w:t>以下</w:t>
                  </w:r>
                  <w:r>
                    <w:rPr>
                      <w:rFonts w:hint="eastAsia" w:ascii="Times New Roman" w:hAnsi="Times New Roman" w:cs="Times New Roman"/>
                      <w:kern w:val="0"/>
                      <w:szCs w:val="21"/>
                    </w:rPr>
                    <w:t>的石料一起外售</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674" w:type="dxa"/>
                  <w:gridSpan w:val="2"/>
                  <w:vMerge w:val="continue"/>
                  <w:tcBorders>
                    <w:tl2br w:val="nil"/>
                    <w:tr2bl w:val="nil"/>
                  </w:tcBorders>
                  <w:vAlign w:val="center"/>
                </w:tcPr>
                <w:p>
                  <w:pPr>
                    <w:ind w:right="113"/>
                    <w:jc w:val="center"/>
                    <w:rPr>
                      <w:rFonts w:ascii="Times New Roman" w:hAnsi="Times New Roman" w:cs="Times New Roman"/>
                      <w:kern w:val="0"/>
                      <w:szCs w:val="21"/>
                    </w:rPr>
                  </w:pPr>
                </w:p>
              </w:tc>
              <w:tc>
                <w:tcPr>
                  <w:tcW w:w="1247"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危险废物</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维修产生的废机油暂存于厂区危废暂存间，交由有资质的危废单位处置</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新建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2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674" w:type="dxa"/>
                  <w:gridSpan w:val="2"/>
                  <w:vMerge w:val="continue"/>
                  <w:tcBorders>
                    <w:tl2br w:val="nil"/>
                    <w:tr2bl w:val="nil"/>
                  </w:tcBorders>
                  <w:vAlign w:val="center"/>
                </w:tcPr>
                <w:p>
                  <w:pPr>
                    <w:ind w:right="113"/>
                    <w:jc w:val="center"/>
                    <w:rPr>
                      <w:rFonts w:ascii="Times New Roman" w:hAnsi="Times New Roman" w:cs="Times New Roman"/>
                      <w:kern w:val="0"/>
                      <w:szCs w:val="21"/>
                    </w:rPr>
                  </w:pPr>
                </w:p>
              </w:tc>
              <w:tc>
                <w:tcPr>
                  <w:tcW w:w="1247"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生活垃圾</w:t>
                  </w:r>
                </w:p>
              </w:tc>
              <w:tc>
                <w:tcPr>
                  <w:tcW w:w="5509"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生活垃圾送垃圾填埋场填埋处理</w:t>
                  </w:r>
                </w:p>
              </w:tc>
              <w:tc>
                <w:tcPr>
                  <w:tcW w:w="813"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w:t>
                  </w:r>
                </w:p>
              </w:tc>
            </w:tr>
          </w:tbl>
          <w:p>
            <w:pPr>
              <w:spacing w:line="500" w:lineRule="exact"/>
              <w:ind w:firstLine="482" w:firstLineChars="200"/>
              <w:rPr>
                <w:rFonts w:ascii="Times New Roman" w:hAnsi="Times New Roman" w:cs="Times New Roman"/>
                <w:b/>
                <w:kern w:val="10"/>
                <w:sz w:val="24"/>
                <w:szCs w:val="24"/>
              </w:rPr>
            </w:pPr>
            <w:r>
              <w:rPr>
                <w:rFonts w:ascii="Times New Roman" w:hAnsi="Times New Roman" w:cs="Times New Roman"/>
                <w:b/>
                <w:kern w:val="10"/>
                <w:sz w:val="24"/>
                <w:szCs w:val="24"/>
              </w:rPr>
              <w:t>8</w:t>
            </w:r>
            <w:r>
              <w:rPr>
                <w:rFonts w:hint="eastAsia" w:ascii="Times New Roman" w:hAnsi="Times New Roman" w:cs="Times New Roman"/>
                <w:b/>
                <w:kern w:val="10"/>
                <w:sz w:val="24"/>
                <w:szCs w:val="24"/>
              </w:rPr>
              <w:t>、</w:t>
            </w:r>
            <w:r>
              <w:rPr>
                <w:rFonts w:ascii="Times New Roman" w:hAnsi="Times New Roman" w:cs="Times New Roman"/>
                <w:b/>
                <w:kern w:val="10"/>
                <w:sz w:val="24"/>
                <w:szCs w:val="24"/>
              </w:rPr>
              <w:t>主要设备</w:t>
            </w:r>
          </w:p>
          <w:p>
            <w:pPr>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本项目所用主要生产设备详见表1-2。</w:t>
            </w:r>
          </w:p>
          <w:p>
            <w:pPr>
              <w:spacing w:line="500" w:lineRule="exact"/>
              <w:jc w:val="center"/>
              <w:rPr>
                <w:rFonts w:ascii="Times New Roman" w:hAnsi="Times New Roman" w:cs="Times New Roman"/>
                <w:b/>
                <w:kern w:val="10"/>
                <w:szCs w:val="21"/>
              </w:rPr>
            </w:pPr>
            <w:r>
              <w:rPr>
                <w:rFonts w:ascii="Times New Roman" w:hAnsi="Times New Roman" w:cs="Times New Roman"/>
                <w:b/>
                <w:kern w:val="10"/>
                <w:szCs w:val="21"/>
              </w:rPr>
              <w:t>表1-2   主要生产设备一览表</w:t>
            </w:r>
          </w:p>
          <w:tbl>
            <w:tblPr>
              <w:tblStyle w:val="4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722"/>
              <w:gridCol w:w="1785"/>
              <w:gridCol w:w="3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序号</w:t>
                  </w:r>
                </w:p>
              </w:tc>
              <w:tc>
                <w:tcPr>
                  <w:tcW w:w="1503" w:type="pc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设备名称</w:t>
                  </w:r>
                </w:p>
              </w:tc>
              <w:tc>
                <w:tcPr>
                  <w:tcW w:w="986" w:type="pc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数量（台/组）</w:t>
                  </w:r>
                </w:p>
              </w:tc>
              <w:tc>
                <w:tcPr>
                  <w:tcW w:w="1850" w:type="pct"/>
                  <w:tcBorders>
                    <w:tl2br w:val="nil"/>
                    <w:tr2bl w:val="nil"/>
                  </w:tcBorders>
                  <w:vAlign w:val="center"/>
                </w:tcPr>
                <w:p>
                  <w:pPr>
                    <w:jc w:val="center"/>
                    <w:rPr>
                      <w:rFonts w:ascii="Times New Roman" w:hAnsi="Times New Roman" w:cs="Times New Roman"/>
                      <w:b/>
                      <w:szCs w:val="21"/>
                    </w:rPr>
                  </w:pPr>
                  <w:r>
                    <w:rPr>
                      <w:rFonts w:hint="eastAsia" w:ascii="Times New Roman" w:hAnsi="Times New Roman" w:cs="Times New Roman"/>
                      <w:b/>
                      <w:szCs w:val="21"/>
                    </w:rPr>
                    <w:t>型号/规格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w:t>
                  </w:r>
                </w:p>
              </w:tc>
              <w:tc>
                <w:tcPr>
                  <w:tcW w:w="1503"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hint="eastAsia" w:ascii="Times New Roman" w:hAnsi="Times New Roman" w:eastAsia="宋体" w:cs="Times New Roman"/>
                      <w:bCs/>
                      <w:kern w:val="0"/>
                      <w:lang w:eastAsia="zh-CN"/>
                    </w:rPr>
                    <w:t>进</w:t>
                  </w:r>
                  <w:r>
                    <w:rPr>
                      <w:rFonts w:hint="eastAsia" w:ascii="Times New Roman" w:hAnsi="Times New Roman" w:eastAsia="宋体" w:cs="Times New Roman"/>
                      <w:bCs/>
                      <w:kern w:val="0"/>
                    </w:rPr>
                    <w:t>料机</w:t>
                  </w:r>
                </w:p>
              </w:tc>
              <w:tc>
                <w:tcPr>
                  <w:tcW w:w="986"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ascii="Times New Roman" w:hAnsi="Times New Roman" w:eastAsia="宋体" w:cs="Times New Roman"/>
                      <w:bCs/>
                      <w:kern w:val="0"/>
                    </w:rPr>
                    <w:t>1</w:t>
                  </w:r>
                </w:p>
              </w:tc>
              <w:tc>
                <w:tcPr>
                  <w:tcW w:w="1850"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进料口2m*3m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2</w:t>
                  </w:r>
                </w:p>
              </w:tc>
              <w:tc>
                <w:tcPr>
                  <w:tcW w:w="1503"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hint="eastAsia" w:ascii="Times New Roman" w:hAnsi="Times New Roman" w:eastAsia="宋体" w:cs="Times New Roman"/>
                      <w:bCs/>
                      <w:kern w:val="0"/>
                    </w:rPr>
                    <w:t>颚式破碎机</w:t>
                  </w:r>
                </w:p>
              </w:tc>
              <w:tc>
                <w:tcPr>
                  <w:tcW w:w="986"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hint="eastAsia" w:ascii="Times New Roman" w:hAnsi="Times New Roman" w:eastAsia="宋体" w:cs="Times New Roman"/>
                      <w:bCs/>
                      <w:kern w:val="0"/>
                    </w:rPr>
                    <w:t>2</w:t>
                  </w:r>
                </w:p>
              </w:tc>
              <w:tc>
                <w:tcPr>
                  <w:tcW w:w="1850" w:type="pct"/>
                  <w:tcBorders>
                    <w:tl2br w:val="nil"/>
                    <w:tr2bl w:val="nil"/>
                  </w:tcBorders>
                  <w:vAlign w:val="center"/>
                </w:tcPr>
                <w:p>
                  <w:pPr>
                    <w:widowControl/>
                    <w:adjustRightInd w:val="0"/>
                    <w:snapToGrid w:val="0"/>
                    <w:jc w:val="center"/>
                    <w:textAlignment w:val="center"/>
                  </w:pPr>
                  <w:r>
                    <w:rPr>
                      <w:rFonts w:hint="eastAsia"/>
                    </w:rPr>
                    <w:t>600-900型：进料口尺寸600mm*900mm；最大进料粒度为480mmm，生产能力</w:t>
                  </w:r>
                  <w:r>
                    <w:rPr>
                      <w:rFonts w:hint="eastAsia"/>
                      <w:lang w:val="en-US" w:eastAsia="zh-CN"/>
                    </w:rPr>
                    <w:t>50</w:t>
                  </w:r>
                  <w:r>
                    <w:rPr>
                      <w:rFonts w:hint="eastAsia"/>
                    </w:rPr>
                    <w:t>-</w:t>
                  </w:r>
                  <w:r>
                    <w:rPr>
                      <w:rFonts w:hint="eastAsia"/>
                      <w:lang w:val="en-US" w:eastAsia="zh-CN"/>
                    </w:rPr>
                    <w:t>160</w:t>
                  </w:r>
                  <w:r>
                    <w:rPr>
                      <w:rFonts w:hint="eastAsia"/>
                    </w:rPr>
                    <w:t>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3</w:t>
                  </w:r>
                </w:p>
              </w:tc>
              <w:tc>
                <w:tcPr>
                  <w:tcW w:w="1503"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hint="eastAsia" w:ascii="Times New Roman" w:hAnsi="Times New Roman" w:eastAsia="宋体" w:cs="Times New Roman"/>
                      <w:bCs/>
                      <w:kern w:val="0"/>
                    </w:rPr>
                    <w:t>锤式破碎机</w:t>
                  </w:r>
                </w:p>
              </w:tc>
              <w:tc>
                <w:tcPr>
                  <w:tcW w:w="986"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hint="eastAsia" w:ascii="Times New Roman" w:hAnsi="Times New Roman" w:eastAsia="宋体" w:cs="Times New Roman"/>
                      <w:bCs/>
                      <w:kern w:val="0"/>
                    </w:rPr>
                    <w:t>1</w:t>
                  </w:r>
                </w:p>
              </w:tc>
              <w:tc>
                <w:tcPr>
                  <w:tcW w:w="1850"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180型；生产能力</w:t>
                  </w:r>
                  <w:r>
                    <w:rPr>
                      <w:rFonts w:hint="eastAsia" w:ascii="Times New Roman" w:hAnsi="Times New Roman" w:eastAsia="宋体" w:cs="Times New Roman"/>
                      <w:bCs/>
                      <w:color w:val="000000" w:themeColor="text1"/>
                      <w:kern w:val="0"/>
                    </w:rPr>
                    <w:t>为40-50t/h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4</w:t>
                  </w:r>
                </w:p>
              </w:tc>
              <w:tc>
                <w:tcPr>
                  <w:tcW w:w="1503"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hint="eastAsia" w:ascii="Times New Roman" w:hAnsi="Times New Roman" w:eastAsia="宋体" w:cs="Times New Roman"/>
                      <w:bCs/>
                      <w:kern w:val="0"/>
                    </w:rPr>
                    <w:t>振动筛</w:t>
                  </w:r>
                </w:p>
              </w:tc>
              <w:tc>
                <w:tcPr>
                  <w:tcW w:w="986"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ascii="Times New Roman" w:hAnsi="Times New Roman" w:eastAsia="宋体" w:cs="Times New Roman"/>
                      <w:bCs/>
                      <w:kern w:val="0"/>
                    </w:rPr>
                    <w:t>1</w:t>
                  </w:r>
                </w:p>
              </w:tc>
              <w:tc>
                <w:tcPr>
                  <w:tcW w:w="1850"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筛面面积1.2m*0.8m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5</w:t>
                  </w:r>
                </w:p>
              </w:tc>
              <w:tc>
                <w:tcPr>
                  <w:tcW w:w="1503"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ascii="Times New Roman" w:hAnsi="Times New Roman" w:eastAsia="宋体" w:cs="Times New Roman"/>
                      <w:bCs/>
                      <w:kern w:val="0"/>
                    </w:rPr>
                    <w:t>皮带输送机</w:t>
                  </w:r>
                </w:p>
              </w:tc>
              <w:tc>
                <w:tcPr>
                  <w:tcW w:w="986"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1</w:t>
                  </w:r>
                </w:p>
              </w:tc>
              <w:tc>
                <w:tcPr>
                  <w:tcW w:w="1850"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85型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6</w:t>
                  </w:r>
                </w:p>
              </w:tc>
              <w:tc>
                <w:tcPr>
                  <w:tcW w:w="1503"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ascii="Times New Roman" w:hAnsi="Times New Roman" w:eastAsia="宋体" w:cs="Times New Roman"/>
                      <w:bCs/>
                      <w:kern w:val="0"/>
                    </w:rPr>
                    <w:t>地泵</w:t>
                  </w:r>
                </w:p>
              </w:tc>
              <w:tc>
                <w:tcPr>
                  <w:tcW w:w="986" w:type="pct"/>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ascii="Times New Roman" w:hAnsi="Times New Roman" w:eastAsia="宋体" w:cs="Times New Roman"/>
                      <w:bCs/>
                      <w:kern w:val="0"/>
                    </w:rPr>
                    <w:t>1</w:t>
                  </w:r>
                </w:p>
              </w:tc>
              <w:tc>
                <w:tcPr>
                  <w:tcW w:w="1850"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7</w:t>
                  </w:r>
                </w:p>
              </w:tc>
              <w:tc>
                <w:tcPr>
                  <w:tcW w:w="1503"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洒水车</w:t>
                  </w:r>
                </w:p>
              </w:tc>
              <w:tc>
                <w:tcPr>
                  <w:tcW w:w="986"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1</w:t>
                  </w:r>
                </w:p>
              </w:tc>
              <w:tc>
                <w:tcPr>
                  <w:tcW w:w="1850"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659" w:type="pct"/>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8</w:t>
                  </w:r>
                </w:p>
              </w:tc>
              <w:tc>
                <w:tcPr>
                  <w:tcW w:w="1503"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卡车</w:t>
                  </w:r>
                </w:p>
              </w:tc>
              <w:tc>
                <w:tcPr>
                  <w:tcW w:w="986"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3</w:t>
                  </w:r>
                </w:p>
              </w:tc>
              <w:tc>
                <w:tcPr>
                  <w:tcW w:w="1850" w:type="pct"/>
                  <w:tcBorders>
                    <w:tl2br w:val="nil"/>
                    <w:tr2bl w:val="nil"/>
                  </w:tcBorders>
                  <w:vAlign w:val="center"/>
                </w:tcPr>
                <w:p>
                  <w:pPr>
                    <w:widowControl/>
                    <w:adjustRightInd w:val="0"/>
                    <w:snapToGrid w:val="0"/>
                    <w:jc w:val="center"/>
                    <w:textAlignment w:val="center"/>
                    <w:rPr>
                      <w:rFonts w:ascii="Times New Roman" w:hAnsi="Times New Roman" w:eastAsia="宋体" w:cs="Times New Roman"/>
                      <w:bCs/>
                      <w:kern w:val="0"/>
                    </w:rPr>
                  </w:pPr>
                  <w:r>
                    <w:rPr>
                      <w:rFonts w:hint="eastAsia" w:ascii="Times New Roman" w:hAnsi="Times New Roman" w:eastAsia="宋体" w:cs="Times New Roman"/>
                      <w:bCs/>
                      <w:kern w:val="0"/>
                    </w:rPr>
                    <w:t>/</w:t>
                  </w:r>
                </w:p>
              </w:tc>
            </w:tr>
          </w:tbl>
          <w:p>
            <w:pPr>
              <w:spacing w:line="500" w:lineRule="exact"/>
              <w:ind w:firstLine="482"/>
              <w:textAlignment w:val="bottom"/>
              <w:rPr>
                <w:rFonts w:ascii="Times New Roman" w:hAnsi="Times New Roman" w:cs="Times New Roman"/>
                <w:spacing w:val="6"/>
                <w:sz w:val="24"/>
                <w:szCs w:val="24"/>
              </w:rPr>
            </w:pPr>
            <w:r>
              <w:rPr>
                <w:rFonts w:hint="eastAsia" w:ascii="Times New Roman" w:hAnsi="Times New Roman" w:cs="Times New Roman"/>
                <w:spacing w:val="6"/>
                <w:sz w:val="24"/>
                <w:szCs w:val="24"/>
              </w:rPr>
              <w:t>根据主要破碎设备颚式破碎机的生产能力40-50t/h</w:t>
            </w:r>
            <w:r>
              <w:rPr>
                <w:rFonts w:hint="eastAsia" w:ascii="Times New Roman" w:hAnsi="Times New Roman" w:cs="Times New Roman"/>
                <w:spacing w:val="6"/>
                <w:sz w:val="24"/>
                <w:szCs w:val="24"/>
                <w:lang w:eastAsia="zh-CN"/>
              </w:rPr>
              <w:t>，</w:t>
            </w:r>
            <w:r>
              <w:rPr>
                <w:rFonts w:hint="eastAsia" w:ascii="Times New Roman" w:hAnsi="Times New Roman" w:cs="Times New Roman"/>
                <w:spacing w:val="6"/>
                <w:sz w:val="24"/>
                <w:szCs w:val="24"/>
              </w:rPr>
              <w:t>锤式破碎机的生产能力</w:t>
            </w:r>
            <w:r>
              <w:rPr>
                <w:rFonts w:hint="eastAsia" w:ascii="Times New Roman" w:hAnsi="Times New Roman" w:cs="Times New Roman"/>
                <w:spacing w:val="6"/>
                <w:sz w:val="24"/>
                <w:szCs w:val="24"/>
                <w:lang w:val="en-US" w:eastAsia="zh-CN"/>
              </w:rPr>
              <w:t>50-160</w:t>
            </w:r>
            <w:r>
              <w:rPr>
                <w:rFonts w:hint="eastAsia" w:ascii="Times New Roman" w:hAnsi="Times New Roman" w:cs="Times New Roman"/>
                <w:spacing w:val="6"/>
                <w:sz w:val="24"/>
                <w:szCs w:val="24"/>
              </w:rPr>
              <w:t>t/h，本项目年生产2400h，</w:t>
            </w:r>
            <w:r>
              <w:rPr>
                <w:rFonts w:hint="eastAsia" w:ascii="Times New Roman" w:hAnsi="Times New Roman" w:cs="Times New Roman"/>
                <w:spacing w:val="6"/>
                <w:sz w:val="24"/>
                <w:szCs w:val="24"/>
                <w:lang w:eastAsia="zh-CN"/>
              </w:rPr>
              <w:t>整条生</w:t>
            </w:r>
            <w:r>
              <w:rPr>
                <w:rFonts w:hint="eastAsia" w:ascii="Times New Roman" w:hAnsi="Times New Roman" w:cs="Times New Roman"/>
                <w:color w:val="000000" w:themeColor="text1"/>
                <w:spacing w:val="6"/>
                <w:sz w:val="24"/>
                <w:szCs w:val="24"/>
                <w:lang w:eastAsia="zh-CN"/>
              </w:rPr>
              <w:t>产线</w:t>
            </w:r>
            <w:r>
              <w:rPr>
                <w:rFonts w:hint="eastAsia" w:ascii="Times New Roman" w:hAnsi="Times New Roman" w:cs="Times New Roman"/>
                <w:color w:val="000000" w:themeColor="text1"/>
                <w:spacing w:val="6"/>
                <w:sz w:val="24"/>
                <w:szCs w:val="24"/>
              </w:rPr>
              <w:t>生产能力</w:t>
            </w:r>
            <w:r>
              <w:rPr>
                <w:rFonts w:hint="eastAsia" w:ascii="Times New Roman" w:hAnsi="Times New Roman" w:cs="Times New Roman"/>
                <w:color w:val="000000" w:themeColor="text1"/>
                <w:spacing w:val="6"/>
                <w:sz w:val="24"/>
                <w:szCs w:val="24"/>
                <w:lang w:eastAsia="zh-CN"/>
              </w:rPr>
              <w:t>范围</w:t>
            </w:r>
            <w:r>
              <w:rPr>
                <w:rFonts w:hint="eastAsia" w:ascii="Times New Roman" w:hAnsi="Times New Roman" w:cs="Times New Roman"/>
                <w:color w:val="000000" w:themeColor="text1"/>
                <w:spacing w:val="6"/>
                <w:sz w:val="24"/>
                <w:szCs w:val="24"/>
              </w:rPr>
              <w:t>为</w:t>
            </w:r>
            <w:r>
              <w:rPr>
                <w:rFonts w:hint="eastAsia" w:ascii="Times New Roman" w:hAnsi="Times New Roman" w:cs="Times New Roman"/>
                <w:color w:val="000000" w:themeColor="text1"/>
                <w:spacing w:val="6"/>
                <w:sz w:val="24"/>
                <w:szCs w:val="24"/>
                <w:lang w:val="en-US" w:eastAsia="zh-CN"/>
              </w:rPr>
              <w:t>9.6-12</w:t>
            </w:r>
            <w:r>
              <w:rPr>
                <w:rFonts w:hint="eastAsia" w:ascii="Times New Roman" w:hAnsi="Times New Roman" w:cs="Times New Roman"/>
                <w:color w:val="000000" w:themeColor="text1"/>
                <w:spacing w:val="6"/>
                <w:sz w:val="24"/>
                <w:szCs w:val="24"/>
              </w:rPr>
              <w:t>万t/a；</w:t>
            </w:r>
            <w:r>
              <w:rPr>
                <w:rFonts w:hint="eastAsia" w:ascii="Times New Roman" w:hAnsi="Times New Roman" w:cs="Times New Roman"/>
                <w:spacing w:val="6"/>
                <w:sz w:val="24"/>
                <w:szCs w:val="24"/>
              </w:rPr>
              <w:t>拟建项目年生产10万t石料，主要设备生产能力可以满足项目所需。</w:t>
            </w:r>
          </w:p>
          <w:p>
            <w:pPr>
              <w:spacing w:line="500" w:lineRule="exact"/>
              <w:ind w:firstLine="482"/>
              <w:textAlignment w:val="bottom"/>
              <w:rPr>
                <w:rFonts w:ascii="Times New Roman" w:hAnsi="Times New Roman" w:cs="Times New Roman"/>
                <w:b/>
                <w:kern w:val="10"/>
                <w:sz w:val="24"/>
                <w:szCs w:val="24"/>
              </w:rPr>
            </w:pPr>
            <w:r>
              <w:rPr>
                <w:rFonts w:ascii="Times New Roman" w:hAnsi="Times New Roman" w:cs="Times New Roman"/>
                <w:b/>
                <w:kern w:val="10"/>
                <w:sz w:val="24"/>
                <w:szCs w:val="24"/>
              </w:rPr>
              <w:t>9</w:t>
            </w:r>
            <w:r>
              <w:rPr>
                <w:rFonts w:hint="eastAsia" w:ascii="Times New Roman" w:hAnsi="Times New Roman" w:cs="Times New Roman"/>
                <w:b/>
                <w:kern w:val="10"/>
                <w:sz w:val="24"/>
                <w:szCs w:val="24"/>
              </w:rPr>
              <w:t>、</w:t>
            </w:r>
            <w:r>
              <w:rPr>
                <w:rFonts w:ascii="Times New Roman" w:hAnsi="Times New Roman" w:cs="Times New Roman"/>
                <w:b/>
                <w:kern w:val="10"/>
                <w:sz w:val="24"/>
                <w:szCs w:val="24"/>
              </w:rPr>
              <w:t>主要原辅材料消耗</w:t>
            </w:r>
          </w:p>
          <w:p>
            <w:pPr>
              <w:spacing w:line="500" w:lineRule="exact"/>
              <w:ind w:firstLine="482"/>
              <w:textAlignment w:val="bottom"/>
              <w:rPr>
                <w:rFonts w:ascii="Times New Roman" w:hAnsi="Times New Roman" w:cs="Times New Roman"/>
                <w:spacing w:val="6"/>
                <w:sz w:val="24"/>
                <w:szCs w:val="24"/>
              </w:rPr>
            </w:pPr>
            <w:r>
              <w:rPr>
                <w:rFonts w:ascii="Times New Roman" w:hAnsi="Times New Roman" w:cs="Times New Roman"/>
                <w:spacing w:val="6"/>
                <w:sz w:val="24"/>
                <w:szCs w:val="24"/>
              </w:rPr>
              <w:t>项目</w:t>
            </w:r>
            <w:r>
              <w:rPr>
                <w:rFonts w:hint="eastAsia" w:ascii="Times New Roman" w:hAnsi="Times New Roman" w:cs="Times New Roman"/>
                <w:spacing w:val="6"/>
                <w:sz w:val="24"/>
                <w:szCs w:val="24"/>
              </w:rPr>
              <w:t>主要原料全部为代县泰丰矿业有限公司的废石料，代县泰丰矿业有限公司成立于2002年2月，经营铁矿采选、铁精矿粉销售，</w:t>
            </w:r>
            <w:r>
              <w:rPr>
                <w:rFonts w:hint="eastAsia" w:ascii="Times New Roman" w:hAnsi="Times New Roman" w:cs="Times New Roman"/>
                <w:spacing w:val="6"/>
                <w:sz w:val="24"/>
                <w:szCs w:val="24"/>
                <w:lang w:eastAsia="zh-CN"/>
              </w:rPr>
              <w:t>现已完成环评和竣工验收，于</w:t>
            </w:r>
            <w:r>
              <w:rPr>
                <w:rFonts w:hint="eastAsia" w:ascii="Times New Roman" w:hAnsi="Times New Roman" w:cs="Times New Roman"/>
                <w:spacing w:val="6"/>
                <w:sz w:val="24"/>
                <w:szCs w:val="24"/>
                <w:lang w:val="en-US" w:eastAsia="zh-CN"/>
              </w:rPr>
              <w:t>2020年8月7日申领排污许可证</w:t>
            </w:r>
            <w:r>
              <w:rPr>
                <w:rFonts w:hint="eastAsia" w:ascii="Times New Roman" w:hAnsi="Times New Roman" w:cs="Times New Roman"/>
                <w:spacing w:val="6"/>
                <w:sz w:val="24"/>
                <w:szCs w:val="24"/>
              </w:rPr>
              <w:t>，正常运营；该企业年产铁精矿粉50万吨，</w:t>
            </w:r>
            <w:r>
              <w:rPr>
                <w:rFonts w:hint="eastAsia" w:ascii="Times New Roman" w:hAnsi="Times New Roman" w:cs="Times New Roman"/>
                <w:spacing w:val="6"/>
                <w:sz w:val="24"/>
                <w:szCs w:val="24"/>
                <w:lang w:eastAsia="zh-CN"/>
              </w:rPr>
              <w:t>废石料年产生量约为</w:t>
            </w:r>
            <w:r>
              <w:rPr>
                <w:rFonts w:hint="eastAsia" w:ascii="Times New Roman" w:hAnsi="Times New Roman" w:cs="Times New Roman"/>
                <w:spacing w:val="6"/>
                <w:sz w:val="24"/>
                <w:szCs w:val="24"/>
                <w:lang w:val="en-US" w:eastAsia="zh-CN"/>
              </w:rPr>
              <w:t>20万吨，均外售建材企业用于石料、石砂生产，</w:t>
            </w:r>
            <w:r>
              <w:rPr>
                <w:rFonts w:hint="eastAsia" w:ascii="Times New Roman" w:hAnsi="Times New Roman" w:cs="Times New Roman"/>
                <w:spacing w:val="6"/>
                <w:sz w:val="24"/>
                <w:szCs w:val="24"/>
              </w:rPr>
              <w:t>可以满足本项目原料需求</w:t>
            </w:r>
            <w:r>
              <w:rPr>
                <w:rFonts w:ascii="Times New Roman" w:hAnsi="Times New Roman" w:cs="Times New Roman"/>
                <w:spacing w:val="6"/>
                <w:sz w:val="24"/>
                <w:szCs w:val="24"/>
              </w:rPr>
              <w:t>。</w:t>
            </w:r>
            <w:r>
              <w:rPr>
                <w:rFonts w:hint="eastAsia" w:ascii="Times New Roman" w:hAnsi="Times New Roman" w:cs="Times New Roman"/>
                <w:spacing w:val="6"/>
                <w:sz w:val="24"/>
                <w:szCs w:val="24"/>
              </w:rPr>
              <w:t>本项目原料由建设单位自行运输。</w:t>
            </w:r>
          </w:p>
          <w:p>
            <w:pPr>
              <w:spacing w:line="500" w:lineRule="exact"/>
              <w:ind w:firstLine="482"/>
              <w:textAlignment w:val="bottom"/>
              <w:rPr>
                <w:rFonts w:ascii="Times New Roman" w:hAnsi="Times New Roman" w:cs="Times New Roman"/>
                <w:spacing w:val="6"/>
                <w:sz w:val="24"/>
                <w:szCs w:val="24"/>
              </w:rPr>
            </w:pPr>
            <w:r>
              <w:rPr>
                <w:rFonts w:ascii="Times New Roman" w:hAnsi="Times New Roman" w:cs="Times New Roman"/>
                <w:spacing w:val="6"/>
                <w:sz w:val="24"/>
                <w:szCs w:val="24"/>
              </w:rPr>
              <w:t>具体原辅材料消耗见表1-3。</w:t>
            </w:r>
          </w:p>
          <w:p>
            <w:pPr>
              <w:snapToGrid w:val="0"/>
              <w:spacing w:line="500" w:lineRule="exact"/>
              <w:jc w:val="center"/>
              <w:rPr>
                <w:rFonts w:ascii="Times New Roman" w:hAnsi="Times New Roman" w:cs="Times New Roman"/>
                <w:b/>
                <w:bCs/>
                <w:snapToGrid w:val="0"/>
                <w:kern w:val="10"/>
                <w:szCs w:val="21"/>
              </w:rPr>
            </w:pPr>
            <w:r>
              <w:rPr>
                <w:rFonts w:ascii="Times New Roman" w:hAnsi="Times New Roman" w:cs="Times New Roman"/>
                <w:b/>
                <w:bCs/>
                <w:snapToGrid w:val="0"/>
                <w:kern w:val="10"/>
                <w:szCs w:val="21"/>
              </w:rPr>
              <w:t>表1-</w:t>
            </w:r>
            <w:r>
              <w:rPr>
                <w:rFonts w:hint="eastAsia" w:ascii="Times New Roman" w:hAnsi="Times New Roman" w:cs="Times New Roman"/>
                <w:b/>
                <w:bCs/>
                <w:snapToGrid w:val="0"/>
                <w:kern w:val="10"/>
                <w:szCs w:val="21"/>
              </w:rPr>
              <w:t>3</w:t>
            </w:r>
            <w:r>
              <w:rPr>
                <w:rFonts w:ascii="Times New Roman" w:hAnsi="Times New Roman" w:cs="Times New Roman"/>
                <w:b/>
                <w:bCs/>
                <w:snapToGrid w:val="0"/>
                <w:kern w:val="10"/>
                <w:szCs w:val="21"/>
              </w:rPr>
              <w:t xml:space="preserve"> 项目</w:t>
            </w:r>
            <w:r>
              <w:rPr>
                <w:rFonts w:hint="eastAsia" w:ascii="Times New Roman" w:hAnsi="Times New Roman" w:cs="Times New Roman"/>
                <w:b/>
                <w:bCs/>
                <w:snapToGrid w:val="0"/>
                <w:kern w:val="10"/>
                <w:szCs w:val="21"/>
              </w:rPr>
              <w:t>主要原料</w:t>
            </w:r>
            <w:r>
              <w:rPr>
                <w:rFonts w:ascii="Times New Roman" w:hAnsi="Times New Roman" w:cs="Times New Roman"/>
                <w:b/>
                <w:bCs/>
                <w:snapToGrid w:val="0"/>
                <w:kern w:val="10"/>
                <w:szCs w:val="21"/>
              </w:rPr>
              <w:t>表</w:t>
            </w:r>
          </w:p>
          <w:tbl>
            <w:tblPr>
              <w:tblStyle w:val="40"/>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9"/>
              <w:gridCol w:w="1613"/>
              <w:gridCol w:w="1095"/>
              <w:gridCol w:w="1099"/>
              <w:gridCol w:w="44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7" w:hRule="atLeast"/>
                <w:jc w:val="center"/>
              </w:trPr>
              <w:tc>
                <w:tcPr>
                  <w:tcW w:w="458" w:type="pc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序号</w:t>
                  </w:r>
                </w:p>
              </w:tc>
              <w:tc>
                <w:tcPr>
                  <w:tcW w:w="891" w:type="pct"/>
                  <w:tcBorders>
                    <w:tl2br w:val="nil"/>
                    <w:tr2bl w:val="nil"/>
                  </w:tcBorders>
                  <w:vAlign w:val="center"/>
                </w:tcPr>
                <w:p>
                  <w:pPr>
                    <w:jc w:val="center"/>
                    <w:rPr>
                      <w:rFonts w:ascii="Times New Roman" w:hAnsi="Times New Roman" w:cs="Times New Roman"/>
                      <w:b/>
                      <w:szCs w:val="21"/>
                    </w:rPr>
                  </w:pPr>
                  <w:r>
                    <w:rPr>
                      <w:rFonts w:hint="eastAsia" w:ascii="Times New Roman" w:hAnsi="Times New Roman" w:cs="Times New Roman"/>
                      <w:b/>
                      <w:szCs w:val="21"/>
                    </w:rPr>
                    <w:t>原料名称</w:t>
                  </w:r>
                </w:p>
              </w:tc>
              <w:tc>
                <w:tcPr>
                  <w:tcW w:w="605" w:type="pc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单位</w:t>
                  </w:r>
                </w:p>
              </w:tc>
              <w:tc>
                <w:tcPr>
                  <w:tcW w:w="607" w:type="pct"/>
                  <w:tcBorders>
                    <w:tl2br w:val="nil"/>
                    <w:tr2bl w:val="nil"/>
                  </w:tcBorders>
                  <w:vAlign w:val="center"/>
                </w:tcPr>
                <w:p>
                  <w:pPr>
                    <w:jc w:val="center"/>
                    <w:rPr>
                      <w:rFonts w:ascii="Times New Roman" w:hAnsi="Times New Roman" w:cs="Times New Roman"/>
                      <w:b/>
                      <w:szCs w:val="21"/>
                    </w:rPr>
                  </w:pPr>
                  <w:r>
                    <w:rPr>
                      <w:rFonts w:hint="eastAsia" w:ascii="Times New Roman" w:hAnsi="Times New Roman" w:cs="Times New Roman"/>
                      <w:b/>
                      <w:szCs w:val="21"/>
                    </w:rPr>
                    <w:t>用</w:t>
                  </w:r>
                  <w:r>
                    <w:rPr>
                      <w:rFonts w:ascii="Times New Roman" w:hAnsi="Times New Roman" w:cs="Times New Roman"/>
                      <w:b/>
                      <w:szCs w:val="21"/>
                    </w:rPr>
                    <w:t>量</w:t>
                  </w:r>
                </w:p>
              </w:tc>
              <w:tc>
                <w:tcPr>
                  <w:tcW w:w="2437" w:type="pc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58"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w:t>
                  </w:r>
                </w:p>
              </w:tc>
              <w:tc>
                <w:tcPr>
                  <w:tcW w:w="891" w:type="pct"/>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废石料</w:t>
                  </w:r>
                </w:p>
              </w:tc>
              <w:tc>
                <w:tcPr>
                  <w:tcW w:w="605" w:type="pct"/>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吨</w:t>
                  </w:r>
                  <w:r>
                    <w:rPr>
                      <w:rFonts w:ascii="Times New Roman" w:hAnsi="Times New Roman" w:cs="Times New Roman"/>
                      <w:szCs w:val="21"/>
                    </w:rPr>
                    <w:t>/年</w:t>
                  </w:r>
                </w:p>
              </w:tc>
              <w:tc>
                <w:tcPr>
                  <w:tcW w:w="607" w:type="pct"/>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10万</w:t>
                  </w:r>
                </w:p>
              </w:tc>
              <w:tc>
                <w:tcPr>
                  <w:tcW w:w="2437" w:type="pct"/>
                  <w:tcBorders>
                    <w:tl2br w:val="nil"/>
                    <w:tr2bl w:val="nil"/>
                  </w:tcBorders>
                  <w:vAlign w:val="center"/>
                </w:tcPr>
                <w:p>
                  <w:pPr>
                    <w:jc w:val="center"/>
                    <w:rPr>
                      <w:rFonts w:ascii="Times New Roman" w:hAnsi="Times New Roman" w:cs="Times New Roman"/>
                      <w:kern w:val="0"/>
                      <w:szCs w:val="21"/>
                    </w:rPr>
                  </w:pPr>
                  <w:r>
                    <w:rPr>
                      <w:rFonts w:hint="eastAsia" w:ascii="Times New Roman" w:hAnsi="Times New Roman" w:cs="Times New Roman"/>
                      <w:szCs w:val="21"/>
                    </w:rPr>
                    <w:t>含水率为1%，外购，汽运，存储于原料库</w:t>
                  </w:r>
                </w:p>
              </w:tc>
            </w:tr>
          </w:tbl>
          <w:p>
            <w:pPr>
              <w:tabs>
                <w:tab w:val="center" w:pos="4537"/>
              </w:tabs>
              <w:spacing w:line="500" w:lineRule="exact"/>
              <w:ind w:firstLine="482" w:firstLineChars="200"/>
              <w:rPr>
                <w:rFonts w:ascii="Times New Roman" w:hAnsi="Times New Roman" w:cs="Times New Roman"/>
                <w:b/>
                <w:kern w:val="10"/>
                <w:sz w:val="24"/>
                <w:szCs w:val="24"/>
              </w:rPr>
            </w:pPr>
            <w:r>
              <w:rPr>
                <w:rFonts w:ascii="Times New Roman" w:hAnsi="Times New Roman" w:cs="Times New Roman"/>
                <w:b/>
                <w:kern w:val="10"/>
                <w:sz w:val="24"/>
                <w:szCs w:val="24"/>
              </w:rPr>
              <w:t>10</w:t>
            </w:r>
            <w:r>
              <w:rPr>
                <w:rFonts w:hint="eastAsia" w:ascii="Times New Roman" w:hAnsi="Times New Roman" w:cs="Times New Roman"/>
                <w:b/>
                <w:kern w:val="10"/>
                <w:sz w:val="24"/>
                <w:szCs w:val="24"/>
              </w:rPr>
              <w:t>、</w:t>
            </w:r>
            <w:r>
              <w:rPr>
                <w:rFonts w:ascii="Times New Roman" w:hAnsi="Times New Roman" w:cs="Times New Roman"/>
                <w:b/>
                <w:kern w:val="10"/>
                <w:sz w:val="24"/>
                <w:szCs w:val="24"/>
              </w:rPr>
              <w:t>生产规模及产品方案</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本项目生产规模为年产</w:t>
            </w:r>
            <w:r>
              <w:rPr>
                <w:rFonts w:hint="eastAsia" w:ascii="Times New Roman" w:hAnsi="Times New Roman" w:cs="Times New Roman"/>
                <w:sz w:val="24"/>
                <w:szCs w:val="24"/>
              </w:rPr>
              <w:t>10</w:t>
            </w:r>
            <w:r>
              <w:rPr>
                <w:rFonts w:ascii="Times New Roman" w:hAnsi="Times New Roman" w:cs="Times New Roman"/>
                <w:sz w:val="24"/>
                <w:szCs w:val="24"/>
              </w:rPr>
              <w:t>万</w:t>
            </w:r>
            <w:r>
              <w:rPr>
                <w:rFonts w:hint="eastAsia" w:ascii="Times New Roman" w:hAnsi="Times New Roman" w:cs="Times New Roman"/>
                <w:sz w:val="24"/>
                <w:szCs w:val="24"/>
              </w:rPr>
              <w:t>吨机制石料，产品执行《建设用卵石、碎石》（GB/T14685-2011）</w:t>
            </w:r>
            <w:r>
              <w:rPr>
                <w:rFonts w:ascii="Times New Roman" w:hAnsi="Times New Roman" w:cs="Times New Roman"/>
                <w:bCs/>
                <w:sz w:val="24"/>
                <w:szCs w:val="24"/>
              </w:rPr>
              <w:t>。详细</w:t>
            </w:r>
            <w:r>
              <w:rPr>
                <w:rFonts w:ascii="Times New Roman" w:hAnsi="Times New Roman" w:cs="Times New Roman"/>
                <w:sz w:val="24"/>
                <w:szCs w:val="24"/>
              </w:rPr>
              <w:t>产品方案见表1-</w:t>
            </w:r>
            <w:r>
              <w:rPr>
                <w:rFonts w:hint="eastAsia" w:ascii="Times New Roman" w:hAnsi="Times New Roman" w:cs="Times New Roman"/>
                <w:sz w:val="24"/>
                <w:szCs w:val="24"/>
              </w:rPr>
              <w:t>4</w:t>
            </w:r>
            <w:r>
              <w:rPr>
                <w:rFonts w:ascii="Times New Roman" w:hAnsi="Times New Roman" w:cs="Times New Roman"/>
                <w:sz w:val="24"/>
                <w:szCs w:val="24"/>
              </w:rPr>
              <w:t>。</w:t>
            </w:r>
          </w:p>
          <w:p>
            <w:pPr>
              <w:snapToGrid w:val="0"/>
              <w:spacing w:line="500" w:lineRule="exact"/>
              <w:jc w:val="center"/>
              <w:rPr>
                <w:rFonts w:ascii="Times New Roman" w:hAnsi="Times New Roman" w:cs="Times New Roman"/>
                <w:b/>
                <w:bCs/>
                <w:snapToGrid w:val="0"/>
                <w:kern w:val="10"/>
                <w:szCs w:val="21"/>
              </w:rPr>
            </w:pPr>
            <w:r>
              <w:rPr>
                <w:rFonts w:ascii="Times New Roman" w:hAnsi="Times New Roman" w:cs="Times New Roman"/>
                <w:b/>
                <w:bCs/>
                <w:snapToGrid w:val="0"/>
                <w:kern w:val="10"/>
                <w:szCs w:val="21"/>
              </w:rPr>
              <w:t>表1-</w:t>
            </w:r>
            <w:r>
              <w:rPr>
                <w:rFonts w:hint="eastAsia" w:ascii="Times New Roman" w:hAnsi="Times New Roman" w:cs="Times New Roman"/>
                <w:b/>
                <w:bCs/>
                <w:snapToGrid w:val="0"/>
                <w:kern w:val="10"/>
                <w:szCs w:val="21"/>
              </w:rPr>
              <w:t>4</w:t>
            </w:r>
            <w:r>
              <w:rPr>
                <w:rFonts w:ascii="Times New Roman" w:hAnsi="Times New Roman" w:cs="Times New Roman"/>
                <w:b/>
                <w:bCs/>
                <w:snapToGrid w:val="0"/>
                <w:kern w:val="10"/>
                <w:szCs w:val="21"/>
              </w:rPr>
              <w:t xml:space="preserve"> 项目主要产品方案表</w:t>
            </w:r>
          </w:p>
          <w:tbl>
            <w:tblPr>
              <w:tblStyle w:val="40"/>
              <w:tblW w:w="89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369"/>
              <w:gridCol w:w="1291"/>
              <w:gridCol w:w="1200"/>
              <w:gridCol w:w="1705"/>
              <w:gridCol w:w="26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04"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序号</w:t>
                  </w:r>
                </w:p>
              </w:tc>
              <w:tc>
                <w:tcPr>
                  <w:tcW w:w="1369"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产品类型</w:t>
                  </w:r>
                </w:p>
              </w:tc>
              <w:tc>
                <w:tcPr>
                  <w:tcW w:w="1291"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产品方案</w:t>
                  </w:r>
                </w:p>
              </w:tc>
              <w:tc>
                <w:tcPr>
                  <w:tcW w:w="1200"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单位</w:t>
                  </w:r>
                </w:p>
              </w:tc>
              <w:tc>
                <w:tcPr>
                  <w:tcW w:w="1705"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产量</w:t>
                  </w:r>
                </w:p>
              </w:tc>
              <w:tc>
                <w:tcPr>
                  <w:tcW w:w="2693"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0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w:t>
                  </w:r>
                </w:p>
              </w:tc>
              <w:tc>
                <w:tcPr>
                  <w:tcW w:w="1369"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机制石料</w:t>
                  </w:r>
                </w:p>
              </w:tc>
              <w:tc>
                <w:tcPr>
                  <w:tcW w:w="1291" w:type="dxa"/>
                  <w:tcBorders>
                    <w:tl2br w:val="nil"/>
                    <w:tr2bl w:val="nil"/>
                  </w:tcBorders>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2-3cm</w:t>
                  </w:r>
                </w:p>
              </w:tc>
              <w:tc>
                <w:tcPr>
                  <w:tcW w:w="120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吨</w:t>
                  </w:r>
                  <w:r>
                    <w:rPr>
                      <w:rFonts w:ascii="Times New Roman" w:hAnsi="Times New Roman" w:cs="Times New Roman"/>
                      <w:szCs w:val="21"/>
                    </w:rPr>
                    <w:t>/年</w:t>
                  </w:r>
                </w:p>
              </w:tc>
              <w:tc>
                <w:tcPr>
                  <w:tcW w:w="1705"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8</w:t>
                  </w:r>
                  <w:r>
                    <w:rPr>
                      <w:rFonts w:ascii="Times New Roman" w:hAnsi="Times New Roman" w:cs="Times New Roman"/>
                      <w:szCs w:val="21"/>
                    </w:rPr>
                    <w:t>万</w:t>
                  </w:r>
                </w:p>
              </w:tc>
              <w:tc>
                <w:tcPr>
                  <w:tcW w:w="2693" w:type="dxa"/>
                  <w:tcBorders>
                    <w:tl2br w:val="nil"/>
                    <w:tr2bl w:val="nil"/>
                  </w:tcBorders>
                  <w:vAlign w:val="center"/>
                </w:tcPr>
                <w:p>
                  <w:pPr>
                    <w:jc w:val="center"/>
                    <w:rPr>
                      <w:rFonts w:ascii="Times New Roman" w:hAnsi="Times New Roman" w:cs="Times New Roman"/>
                      <w:kern w:val="0"/>
                      <w:szCs w:val="21"/>
                    </w:rPr>
                  </w:pPr>
                  <w:r>
                    <w:rPr>
                      <w:rFonts w:hint="eastAsia" w:ascii="Times New Roman" w:hAnsi="Times New Roman" w:cs="Times New Roman"/>
                      <w:szCs w:val="21"/>
                    </w:rPr>
                    <w:t>汽车运输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0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w:t>
                  </w:r>
                </w:p>
              </w:tc>
              <w:tc>
                <w:tcPr>
                  <w:tcW w:w="1369"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机制石料</w:t>
                  </w:r>
                </w:p>
              </w:tc>
              <w:tc>
                <w:tcPr>
                  <w:tcW w:w="1291" w:type="dxa"/>
                  <w:tcBorders>
                    <w:tl2br w:val="nil"/>
                    <w:tr2bl w:val="nil"/>
                  </w:tcBorders>
                  <w:vAlign w:val="center"/>
                </w:tcPr>
                <w:p>
                  <w:pPr>
                    <w:jc w:val="center"/>
                    <w:rPr>
                      <w:rFonts w:asciiTheme="minorEastAsia" w:hAnsiTheme="minorEastAsia" w:cstheme="minorEastAsia"/>
                      <w:kern w:val="0"/>
                      <w:szCs w:val="21"/>
                    </w:rPr>
                  </w:pPr>
                  <w:r>
                    <w:rPr>
                      <w:rFonts w:hint="eastAsia" w:ascii="Times New Roman" w:hAnsi="Times New Roman" w:cs="Times New Roman"/>
                      <w:kern w:val="0"/>
                      <w:szCs w:val="21"/>
                    </w:rPr>
                    <w:t>&lt;2cm</w:t>
                  </w:r>
                </w:p>
              </w:tc>
              <w:tc>
                <w:tcPr>
                  <w:tcW w:w="120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吨</w:t>
                  </w:r>
                  <w:r>
                    <w:rPr>
                      <w:rFonts w:ascii="Times New Roman" w:hAnsi="Times New Roman" w:cs="Times New Roman"/>
                      <w:szCs w:val="21"/>
                    </w:rPr>
                    <w:t>/年</w:t>
                  </w:r>
                </w:p>
              </w:tc>
              <w:tc>
                <w:tcPr>
                  <w:tcW w:w="1705"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2万</w:t>
                  </w:r>
                </w:p>
              </w:tc>
              <w:tc>
                <w:tcPr>
                  <w:tcW w:w="269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汽车运输</w:t>
                  </w:r>
                </w:p>
              </w:tc>
            </w:tr>
          </w:tbl>
          <w:p>
            <w:pPr>
              <w:snapToGrid w:val="0"/>
              <w:spacing w:line="500" w:lineRule="exact"/>
              <w:jc w:val="center"/>
              <w:rPr>
                <w:rFonts w:ascii="Times New Roman" w:hAnsi="Times New Roman" w:cs="Times New Roman"/>
                <w:b/>
                <w:bCs/>
                <w:snapToGrid w:val="0"/>
                <w:kern w:val="10"/>
                <w:szCs w:val="21"/>
              </w:rPr>
            </w:pPr>
            <w:r>
              <w:rPr>
                <w:sz w:val="24"/>
              </w:rPr>
              <w:pict>
                <v:group id="_x0000_s1219" o:spid="_x0000_s1219" o:spt="203" style="position:absolute;left:0pt;margin-left:3pt;margin-top:3.6pt;height:145.95pt;width:452.4pt;z-index:251661312;mso-width-relative:page;mso-height-relative:page;" coordorigin="3138,146424" coordsize="9048,2919">
                  <o:lock v:ext="edit"/>
                  <v:rect id="_x0000_s1038" o:spid="_x0000_s1038" o:spt="1" style="position:absolute;left:3138;top:147440;height:844;width:2076;" coordsize="21600,21600">
                    <v:path/>
                    <v:fill focussize="0,0"/>
                    <v:stroke/>
                    <v:imagedata o:title=""/>
                    <o:lock v:ext="edit"/>
                    <v:textbox>
                      <w:txbxContent>
                        <w:p>
                          <w:pPr>
                            <w:spacing w:line="480" w:lineRule="auto"/>
                            <w:jc w:val="center"/>
                            <w:rPr>
                              <w:rFonts w:ascii="Times New Roman" w:hAnsi="Times New Roman" w:cs="Times New Roman"/>
                            </w:rPr>
                          </w:pPr>
                          <w:r>
                            <w:rPr>
                              <w:rFonts w:ascii="Times New Roman" w:hAnsi="Times New Roman" w:cs="Times New Roman"/>
                            </w:rPr>
                            <w:t>原料</w:t>
                          </w:r>
                          <w:r>
                            <w:rPr>
                              <w:rFonts w:hint="eastAsia" w:ascii="Times New Roman" w:hAnsi="Times New Roman" w:cs="Times New Roman"/>
                            </w:rPr>
                            <w:t>10万</w:t>
                          </w:r>
                          <w:r>
                            <w:rPr>
                              <w:rFonts w:ascii="Times New Roman" w:hAnsi="Times New Roman" w:cs="Times New Roman"/>
                            </w:rPr>
                            <w:t>t/a</w:t>
                          </w:r>
                        </w:p>
                      </w:txbxContent>
                    </v:textbox>
                  </v:rect>
                  <v:line id="_x0000_s1039" o:spid="_x0000_s1039" o:spt="20" style="position:absolute;left:6345;top:146713;height:1;width:966;" coordsize="21600,21600">
                    <v:path arrowok="t"/>
                    <v:fill focussize="0,0"/>
                    <v:stroke endarrow="open"/>
                    <v:imagedata o:title=""/>
                    <o:lock v:ext="edit"/>
                  </v:line>
                  <v:line id="_x0000_s1041" o:spid="_x0000_s1041" o:spt="20" style="position:absolute;left:6359;top:146687;height:2403;width:2;" coordsize="21600,21600">
                    <v:path arrowok="t"/>
                    <v:fill focussize="0,0"/>
                    <v:stroke/>
                    <v:imagedata o:title=""/>
                    <o:lock v:ext="edit"/>
                  </v:line>
                  <v:line id="_x0000_s1042" o:spid="_x0000_s1042" o:spt="20" style="position:absolute;left:5238;top:147856;height:1;width:1032;" coordsize="21600,21600">
                    <v:path arrowok="t"/>
                    <v:fill focussize="0,0"/>
                    <v:stroke/>
                    <v:imagedata o:title=""/>
                    <o:lock v:ext="edit"/>
                  </v:line>
                  <v:line id="_x0000_s1045" o:spid="_x0000_s1045" o:spt="20" style="position:absolute;left:6399;top:147848;flip:y;height:12;width:952;" coordsize="21600,21600">
                    <v:path arrowok="t"/>
                    <v:fill focussize="0,0"/>
                    <v:stroke endarrow="open"/>
                    <v:imagedata o:title=""/>
                    <o:lock v:ext="edit"/>
                  </v:line>
                  <v:rect id="_x0000_s1046" o:spid="_x0000_s1046" o:spt="1" style="position:absolute;left:7352;top:146424;height:555;width:3067;" coordsize="21600,21600">
                    <v:path/>
                    <v:fill focussize="0,0"/>
                    <v:stroke/>
                    <v:imagedata o:title=""/>
                    <o:lock v:ext="edit"/>
                    <v:textbox>
                      <w:txbxContent>
                        <w:p>
                          <w:pPr>
                            <w:jc w:val="center"/>
                            <w:rPr>
                              <w:rFonts w:ascii="Times New Roman" w:hAnsi="Times New Roman" w:cs="Times New Roman"/>
                            </w:rPr>
                          </w:pPr>
                          <w:r>
                            <w:rPr>
                              <w:rFonts w:hint="eastAsia" w:ascii="Times New Roman" w:hAnsi="Times New Roman" w:cs="Times New Roman"/>
                              <w:kern w:val="0"/>
                              <w:szCs w:val="21"/>
                            </w:rPr>
                            <w:t>2-3cm石料</w:t>
                          </w:r>
                          <w:r>
                            <w:rPr>
                              <w:rFonts w:hint="eastAsia" w:ascii="Times New Roman" w:hAnsi="Times New Roman" w:cs="Times New Roman"/>
                            </w:rPr>
                            <w:t>8万t/a</w:t>
                          </w:r>
                        </w:p>
                        <w:p>
                          <w:pPr>
                            <w:jc w:val="center"/>
                            <w:rPr>
                              <w:rFonts w:ascii="Times New Roman" w:hAnsi="Times New Roman" w:cs="Times New Roman"/>
                            </w:rPr>
                          </w:pPr>
                          <w:r>
                            <w:rPr>
                              <w:rFonts w:ascii="Times New Roman" w:hAnsi="Times New Roman" w:cs="Times New Roman"/>
                            </w:rPr>
                            <w:t>15.75t/a</w:t>
                          </w:r>
                        </w:p>
                        <w:p>
                          <w:pPr>
                            <w:jc w:val="center"/>
                          </w:pPr>
                        </w:p>
                      </w:txbxContent>
                    </v:textbox>
                  </v:rect>
                  <v:rect id="_x0000_s1047" o:spid="_x0000_s1047" o:spt="1" style="position:absolute;left:7341;top:147546;height:555;width:3080;" coordsize="21600,21600">
                    <v:path/>
                    <v:fill focussize="0,0"/>
                    <v:stroke/>
                    <v:imagedata o:title=""/>
                    <o:lock v:ext="edit"/>
                    <v:textbox>
                      <w:txbxContent>
                        <w:p>
                          <w:pPr>
                            <w:jc w:val="center"/>
                          </w:pPr>
                          <w:r>
                            <w:rPr>
                              <w:rFonts w:hint="eastAsia" w:ascii="Times New Roman" w:hAnsi="Times New Roman" w:cs="Times New Roman"/>
                              <w:kern w:val="0"/>
                              <w:szCs w:val="21"/>
                            </w:rPr>
                            <w:t>&lt;2cm石料</w:t>
                          </w:r>
                        </w:p>
                      </w:txbxContent>
                    </v:textbox>
                  </v:rect>
                  <v:line id="_x0000_s1140" o:spid="_x0000_s1140" o:spt="20" style="position:absolute;left:6409;top:148454;flip:y;height:12;width:952;" coordsize="21600,21600">
                    <v:path arrowok="t"/>
                    <v:fill focussize="0,0"/>
                    <v:stroke endarrow="open"/>
                    <v:imagedata o:title=""/>
                    <o:lock v:ext="edit"/>
                  </v:line>
                  <v:rect id="_x0000_s1141" o:spid="_x0000_s1141" o:spt="1" style="position:absolute;left:7364;top:148249;height:461;width:3058;" coordsize="21600,21600">
                    <v:path/>
                    <v:fill focussize="0,0"/>
                    <v:stroke/>
                    <v:imagedata o:title=""/>
                    <o:lock v:ext="edit"/>
                    <v:textbox>
                      <w:txbxContent>
                        <w:p>
                          <w:pPr>
                            <w:jc w:val="center"/>
                          </w:pPr>
                          <w:r>
                            <w:rPr>
                              <w:rFonts w:hint="eastAsia"/>
                            </w:rPr>
                            <w:t>收集的粉尘及地面清扫粉尘</w:t>
                          </w:r>
                        </w:p>
                      </w:txbxContent>
                    </v:textbox>
                  </v:rect>
                  <v:line id="_x0000_s1153" o:spid="_x0000_s1153" o:spt="20" style="position:absolute;left:6382;top:149100;flip:y;height:12;width:952;" coordsize="21600,21600">
                    <v:path arrowok="t"/>
                    <v:fill focussize="0,0"/>
                    <v:stroke endarrow="open"/>
                    <v:imagedata o:title=""/>
                    <o:lock v:ext="edit"/>
                  </v:line>
                  <v:rect id="_x0000_s1154" o:spid="_x0000_s1154" o:spt="1" style="position:absolute;left:7336;top:148883;height:461;width:3084;" coordsize="21600,21600">
                    <v:path/>
                    <v:fill focussize="0,0"/>
                    <v:stroke/>
                    <v:imagedata o:title=""/>
                    <o:lock v:ext="edit"/>
                    <v:textbox>
                      <w:txbxContent>
                        <w:p>
                          <w:pPr>
                            <w:jc w:val="center"/>
                            <w:rPr>
                              <w:rFonts w:ascii="Times New Roman" w:hAnsi="Times New Roman" w:cs="Times New Roman"/>
                            </w:rPr>
                          </w:pPr>
                          <w:r>
                            <w:rPr>
                              <w:rFonts w:hint="eastAsia"/>
                            </w:rPr>
                            <w:t>粉尘排放量</w:t>
                          </w:r>
                        </w:p>
                        <w:p>
                          <w:pPr>
                            <w:jc w:val="center"/>
                          </w:pPr>
                        </w:p>
                      </w:txbxContent>
                    </v:textbox>
                  </v:rect>
                  <v:line id="_x0000_s1213" o:spid="_x0000_s1213" o:spt="20" style="position:absolute;left:10425;top:147783;height:1;width:412;" filled="t" coordsize="21600,21600">
                    <v:path arrowok="t"/>
                    <v:fill on="t" focussize="0,0"/>
                    <v:stroke/>
                    <v:imagedata o:title=""/>
                    <o:lock v:ext="edit"/>
                  </v:line>
                  <v:line id="_x0000_s1216" o:spid="_x0000_s1216" o:spt="20" style="position:absolute;left:10850;top:147783;height:1313;width:1;" filled="t" coordsize="21600,21600">
                    <v:path arrowok="t"/>
                    <v:fill on="t" focussize="0,0"/>
                    <v:stroke/>
                    <v:imagedata o:title=""/>
                    <o:lock v:ext="edit"/>
                  </v:line>
                  <v:line id="_x0000_s1217" o:spid="_x0000_s1217" o:spt="20" style="position:absolute;left:10850;top:148483;height:1;width:400;" filled="t" coordsize="21600,21600">
                    <v:path arrowok="t"/>
                    <v:fill on="t" focussize="0,0"/>
                    <v:stroke endarrow="open"/>
                    <v:imagedata o:title=""/>
                    <o:lock v:ext="edit"/>
                  </v:line>
                  <v:line id="_x0000_s1214" o:spid="_x0000_s1214" o:spt="20" style="position:absolute;left:10440;top:148486;height:1;width:412;" coordsize="21600,21600">
                    <v:path arrowok="t"/>
                    <v:fill focussize="0,0"/>
                    <v:stroke/>
                    <v:imagedata o:title=""/>
                    <o:lock v:ext="edit"/>
                  </v:line>
                  <v:line id="_x0000_s1215" o:spid="_x0000_s1215" o:spt="20" style="position:absolute;left:10417;top:149113;height:1;width:412;" coordsize="21600,21600">
                    <v:path arrowok="t"/>
                    <v:fill focussize="0,0"/>
                    <v:stroke/>
                    <v:imagedata o:title=""/>
                    <o:lock v:ext="edit"/>
                  </v:line>
                  <v:rect id="_x0000_s1218" o:spid="_x0000_s1218" o:spt="1" style="position:absolute;left:11238;top:148023;height:911;width:948;" coordsize="21600,21600">
                    <v:path/>
                    <v:fill focussize="0,0"/>
                    <v:stroke/>
                    <v:imagedata o:title=""/>
                    <o:lock v:ext="edit"/>
                    <v:textbox>
                      <w:txbxContent>
                        <w:p>
                          <w:pPr>
                            <w:jc w:val="center"/>
                          </w:pPr>
                          <w:r>
                            <w:rPr>
                              <w:rFonts w:hint="eastAsia"/>
                            </w:rPr>
                            <w:t>外售2t/a</w:t>
                          </w:r>
                        </w:p>
                      </w:txbxContent>
                    </v:textbox>
                  </v:rect>
                </v:group>
              </w:pict>
            </w:r>
          </w:p>
          <w:p>
            <w:pPr>
              <w:snapToGrid w:val="0"/>
              <w:spacing w:line="500" w:lineRule="exact"/>
              <w:jc w:val="center"/>
              <w:rPr>
                <w:rFonts w:ascii="Times New Roman" w:hAnsi="Times New Roman" w:cs="Times New Roman"/>
                <w:b/>
                <w:bCs/>
                <w:snapToGrid w:val="0"/>
                <w:kern w:val="10"/>
                <w:szCs w:val="21"/>
              </w:rPr>
            </w:pPr>
          </w:p>
          <w:p>
            <w:pPr>
              <w:snapToGrid w:val="0"/>
              <w:spacing w:line="500" w:lineRule="exact"/>
              <w:jc w:val="center"/>
              <w:rPr>
                <w:rFonts w:ascii="Times New Roman" w:hAnsi="Times New Roman" w:cs="Times New Roman"/>
                <w:b/>
                <w:bCs/>
                <w:snapToGrid w:val="0"/>
                <w:kern w:val="10"/>
                <w:szCs w:val="21"/>
              </w:rPr>
            </w:pPr>
          </w:p>
          <w:p>
            <w:pPr>
              <w:snapToGrid w:val="0"/>
              <w:spacing w:line="500" w:lineRule="exact"/>
              <w:jc w:val="center"/>
              <w:rPr>
                <w:rFonts w:ascii="Times New Roman" w:hAnsi="Times New Roman" w:cs="Times New Roman"/>
                <w:b/>
                <w:bCs/>
                <w:snapToGrid w:val="0"/>
                <w:kern w:val="10"/>
                <w:szCs w:val="21"/>
              </w:rPr>
            </w:pPr>
          </w:p>
          <w:p>
            <w:pPr>
              <w:snapToGrid w:val="0"/>
              <w:spacing w:line="500" w:lineRule="exact"/>
              <w:jc w:val="center"/>
              <w:rPr>
                <w:rFonts w:ascii="Times New Roman" w:hAnsi="Times New Roman" w:cs="Times New Roman"/>
                <w:b/>
                <w:bCs/>
                <w:snapToGrid w:val="0"/>
                <w:kern w:val="10"/>
                <w:szCs w:val="21"/>
              </w:rPr>
            </w:pPr>
          </w:p>
          <w:p>
            <w:pPr>
              <w:snapToGrid w:val="0"/>
              <w:spacing w:line="500" w:lineRule="exact"/>
              <w:jc w:val="center"/>
              <w:rPr>
                <w:rFonts w:ascii="Times New Roman" w:hAnsi="Times New Roman" w:cs="Times New Roman"/>
                <w:b/>
                <w:bCs/>
                <w:snapToGrid w:val="0"/>
                <w:kern w:val="10"/>
                <w:szCs w:val="21"/>
              </w:rPr>
            </w:pPr>
          </w:p>
          <w:p>
            <w:pPr>
              <w:snapToGrid w:val="0"/>
              <w:spacing w:line="500" w:lineRule="exact"/>
              <w:jc w:val="center"/>
              <w:rPr>
                <w:rFonts w:ascii="Times New Roman" w:hAnsi="Times New Roman" w:cs="Times New Roman"/>
                <w:b/>
                <w:bCs/>
                <w:snapToGrid w:val="0"/>
                <w:kern w:val="10"/>
                <w:szCs w:val="21"/>
              </w:rPr>
            </w:pPr>
            <w:r>
              <w:rPr>
                <w:rFonts w:hint="eastAsia" w:ascii="Times New Roman" w:hAnsi="Times New Roman" w:cs="Times New Roman"/>
                <w:b/>
                <w:bCs/>
                <w:snapToGrid w:val="0"/>
                <w:kern w:val="10"/>
                <w:szCs w:val="21"/>
              </w:rPr>
              <w:t>图1-1物料平衡图</w:t>
            </w:r>
          </w:p>
          <w:p>
            <w:pPr>
              <w:spacing w:line="500" w:lineRule="exact"/>
              <w:ind w:firstLine="482" w:firstLineChars="200"/>
              <w:rPr>
                <w:rFonts w:ascii="Times New Roman" w:hAnsi="Times New Roman" w:cs="Times New Roman"/>
                <w:b/>
                <w:kern w:val="10"/>
                <w:sz w:val="24"/>
                <w:szCs w:val="24"/>
              </w:rPr>
            </w:pPr>
            <w:r>
              <w:rPr>
                <w:rFonts w:ascii="Times New Roman" w:hAnsi="Times New Roman" w:cs="Times New Roman"/>
                <w:b/>
                <w:kern w:val="10"/>
                <w:sz w:val="24"/>
                <w:szCs w:val="24"/>
              </w:rPr>
              <w:t>11</w:t>
            </w:r>
            <w:r>
              <w:rPr>
                <w:rFonts w:hint="eastAsia" w:ascii="Times New Roman" w:hAnsi="Times New Roman" w:cs="Times New Roman"/>
                <w:b/>
                <w:kern w:val="10"/>
                <w:sz w:val="24"/>
                <w:szCs w:val="24"/>
              </w:rPr>
              <w:t>、</w:t>
            </w:r>
            <w:r>
              <w:rPr>
                <w:rFonts w:ascii="Times New Roman" w:hAnsi="Times New Roman" w:cs="Times New Roman"/>
                <w:b/>
                <w:kern w:val="10"/>
                <w:sz w:val="24"/>
                <w:szCs w:val="24"/>
              </w:rPr>
              <w:t>劳动定员与工作制度</w:t>
            </w:r>
          </w:p>
          <w:p>
            <w:pPr>
              <w:widowControl/>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本项目劳动定员</w:t>
            </w:r>
            <w:r>
              <w:rPr>
                <w:rFonts w:hint="eastAsia" w:ascii="Times New Roman" w:hAnsi="Times New Roman" w:cs="Times New Roman"/>
                <w:sz w:val="24"/>
                <w:szCs w:val="24"/>
              </w:rPr>
              <w:t>10</w:t>
            </w:r>
            <w:r>
              <w:rPr>
                <w:rFonts w:ascii="Times New Roman" w:hAnsi="Times New Roman" w:cs="Times New Roman"/>
                <w:sz w:val="24"/>
                <w:szCs w:val="24"/>
              </w:rPr>
              <w:t>人，其中管理人员</w:t>
            </w:r>
            <w:r>
              <w:rPr>
                <w:rFonts w:hint="eastAsia" w:ascii="Times New Roman" w:hAnsi="Times New Roman" w:cs="Times New Roman"/>
                <w:sz w:val="24"/>
                <w:szCs w:val="24"/>
              </w:rPr>
              <w:t>2</w:t>
            </w:r>
            <w:r>
              <w:rPr>
                <w:rFonts w:ascii="Times New Roman" w:hAnsi="Times New Roman" w:cs="Times New Roman"/>
                <w:sz w:val="24"/>
                <w:szCs w:val="24"/>
              </w:rPr>
              <w:t>人，生产员工</w:t>
            </w:r>
            <w:r>
              <w:rPr>
                <w:rFonts w:hint="eastAsia" w:ascii="Times New Roman" w:hAnsi="Times New Roman" w:cs="Times New Roman"/>
                <w:sz w:val="24"/>
                <w:szCs w:val="24"/>
              </w:rPr>
              <w:t>8</w:t>
            </w:r>
            <w:r>
              <w:rPr>
                <w:rFonts w:ascii="Times New Roman" w:hAnsi="Times New Roman" w:cs="Times New Roman"/>
                <w:sz w:val="24"/>
                <w:szCs w:val="24"/>
              </w:rPr>
              <w:t>人。工作制度为</w:t>
            </w:r>
            <w:r>
              <w:rPr>
                <w:rFonts w:hint="eastAsia" w:ascii="Times New Roman" w:hAnsi="Times New Roman" w:cs="Times New Roman"/>
                <w:sz w:val="24"/>
                <w:szCs w:val="24"/>
              </w:rPr>
              <w:t>一</w:t>
            </w:r>
            <w:r>
              <w:rPr>
                <w:rFonts w:ascii="Times New Roman" w:hAnsi="Times New Roman" w:cs="Times New Roman"/>
                <w:sz w:val="24"/>
                <w:szCs w:val="24"/>
              </w:rPr>
              <w:t>班制，每班8小时，每年工作天数为</w:t>
            </w:r>
            <w:r>
              <w:rPr>
                <w:rFonts w:hint="eastAsia" w:ascii="Times New Roman" w:hAnsi="Times New Roman" w:cs="Times New Roman"/>
                <w:sz w:val="24"/>
                <w:szCs w:val="24"/>
              </w:rPr>
              <w:t>300</w:t>
            </w:r>
            <w:r>
              <w:rPr>
                <w:rFonts w:ascii="Times New Roman" w:hAnsi="Times New Roman" w:cs="Times New Roman"/>
                <w:sz w:val="24"/>
                <w:szCs w:val="24"/>
              </w:rPr>
              <w:t>天。</w:t>
            </w:r>
          </w:p>
          <w:p>
            <w:pPr>
              <w:tabs>
                <w:tab w:val="center" w:pos="4537"/>
              </w:tabs>
              <w:spacing w:line="500" w:lineRule="exact"/>
              <w:ind w:firstLine="482" w:firstLineChars="200"/>
              <w:rPr>
                <w:rFonts w:ascii="Times New Roman" w:hAnsi="Times New Roman" w:cs="Times New Roman"/>
                <w:b/>
                <w:kern w:val="10"/>
                <w:sz w:val="24"/>
                <w:szCs w:val="24"/>
              </w:rPr>
            </w:pPr>
            <w:r>
              <w:rPr>
                <w:rFonts w:ascii="Times New Roman" w:hAnsi="Times New Roman" w:cs="Times New Roman"/>
                <w:b/>
                <w:kern w:val="10"/>
                <w:sz w:val="24"/>
                <w:szCs w:val="24"/>
              </w:rPr>
              <w:t>12</w:t>
            </w:r>
            <w:r>
              <w:rPr>
                <w:rFonts w:hint="eastAsia" w:ascii="Times New Roman" w:hAnsi="Times New Roman" w:cs="Times New Roman"/>
                <w:b/>
                <w:kern w:val="10"/>
                <w:sz w:val="24"/>
                <w:szCs w:val="24"/>
              </w:rPr>
              <w:t>、</w:t>
            </w:r>
            <w:r>
              <w:rPr>
                <w:rFonts w:ascii="Times New Roman" w:hAnsi="Times New Roman" w:cs="Times New Roman"/>
                <w:b/>
                <w:kern w:val="10"/>
                <w:sz w:val="24"/>
                <w:szCs w:val="24"/>
              </w:rPr>
              <w:t>主要经济技术指标</w:t>
            </w:r>
          </w:p>
          <w:p>
            <w:pPr>
              <w:snapToGrid w:val="0"/>
              <w:spacing w:line="500" w:lineRule="exact"/>
              <w:ind w:firstLine="480" w:firstLineChars="200"/>
              <w:rPr>
                <w:rFonts w:ascii="Times New Roman" w:hAnsi="Times New Roman" w:cs="Times New Roman"/>
                <w:kern w:val="10"/>
                <w:sz w:val="24"/>
                <w:szCs w:val="24"/>
              </w:rPr>
            </w:pPr>
            <w:r>
              <w:rPr>
                <w:rFonts w:ascii="Times New Roman" w:hAnsi="Times New Roman" w:cs="Times New Roman"/>
                <w:kern w:val="10"/>
                <w:sz w:val="24"/>
                <w:szCs w:val="24"/>
              </w:rPr>
              <w:t>本项目主要经济技术指标详见表1-6。</w:t>
            </w:r>
          </w:p>
          <w:p>
            <w:pPr>
              <w:spacing w:line="500" w:lineRule="exact"/>
              <w:ind w:firstLine="482"/>
              <w:jc w:val="center"/>
              <w:rPr>
                <w:rFonts w:ascii="Times New Roman" w:hAnsi="Times New Roman" w:cs="Times New Roman"/>
                <w:b/>
                <w:kern w:val="10"/>
                <w:szCs w:val="21"/>
              </w:rPr>
            </w:pPr>
            <w:r>
              <w:rPr>
                <w:rFonts w:ascii="Times New Roman" w:hAnsi="Times New Roman" w:cs="Times New Roman"/>
                <w:b/>
                <w:kern w:val="10"/>
                <w:szCs w:val="21"/>
              </w:rPr>
              <w:t>表1-6   工程主要技术经济指标</w:t>
            </w:r>
          </w:p>
          <w:tbl>
            <w:tblPr>
              <w:tblStyle w:val="40"/>
              <w:tblW w:w="91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0"/>
              <w:gridCol w:w="3674"/>
              <w:gridCol w:w="1172"/>
              <w:gridCol w:w="1665"/>
              <w:gridCol w:w="19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b/>
                      <w:kern w:val="10"/>
                      <w:szCs w:val="21"/>
                    </w:rPr>
                  </w:pPr>
                  <w:r>
                    <w:rPr>
                      <w:rFonts w:ascii="Times New Roman" w:hAnsi="Times New Roman" w:cs="Times New Roman"/>
                      <w:b/>
                      <w:kern w:val="10"/>
                      <w:szCs w:val="21"/>
                    </w:rPr>
                    <w:t>序号</w:t>
                  </w:r>
                </w:p>
              </w:tc>
              <w:tc>
                <w:tcPr>
                  <w:tcW w:w="3674" w:type="dxa"/>
                  <w:tcBorders>
                    <w:tl2br w:val="nil"/>
                    <w:tr2bl w:val="nil"/>
                  </w:tcBorders>
                  <w:tcMar>
                    <w:left w:w="0" w:type="dxa"/>
                    <w:right w:w="0" w:type="dxa"/>
                  </w:tcMar>
                  <w:vAlign w:val="center"/>
                </w:tcPr>
                <w:p>
                  <w:pPr>
                    <w:jc w:val="center"/>
                    <w:rPr>
                      <w:rFonts w:ascii="Times New Roman" w:hAnsi="Times New Roman" w:cs="Times New Roman"/>
                      <w:b/>
                      <w:kern w:val="10"/>
                      <w:szCs w:val="21"/>
                    </w:rPr>
                  </w:pPr>
                  <w:r>
                    <w:rPr>
                      <w:rFonts w:ascii="Times New Roman" w:hAnsi="Times New Roman" w:cs="Times New Roman"/>
                      <w:b/>
                      <w:kern w:val="10"/>
                      <w:szCs w:val="21"/>
                    </w:rPr>
                    <w:t>项  目</w:t>
                  </w:r>
                </w:p>
              </w:tc>
              <w:tc>
                <w:tcPr>
                  <w:tcW w:w="1172" w:type="dxa"/>
                  <w:tcBorders>
                    <w:tl2br w:val="nil"/>
                    <w:tr2bl w:val="nil"/>
                  </w:tcBorders>
                  <w:tcMar>
                    <w:left w:w="0" w:type="dxa"/>
                    <w:right w:w="0" w:type="dxa"/>
                  </w:tcMar>
                  <w:vAlign w:val="center"/>
                </w:tcPr>
                <w:p>
                  <w:pPr>
                    <w:jc w:val="center"/>
                    <w:rPr>
                      <w:rFonts w:ascii="Times New Roman" w:hAnsi="Times New Roman" w:cs="Times New Roman"/>
                      <w:b/>
                      <w:kern w:val="10"/>
                      <w:szCs w:val="21"/>
                    </w:rPr>
                  </w:pPr>
                  <w:r>
                    <w:rPr>
                      <w:rFonts w:ascii="Times New Roman" w:hAnsi="Times New Roman" w:cs="Times New Roman"/>
                      <w:b/>
                      <w:kern w:val="10"/>
                      <w:szCs w:val="21"/>
                    </w:rPr>
                    <w:t>单位</w:t>
                  </w:r>
                </w:p>
              </w:tc>
              <w:tc>
                <w:tcPr>
                  <w:tcW w:w="1665" w:type="dxa"/>
                  <w:tcBorders>
                    <w:tl2br w:val="nil"/>
                    <w:tr2bl w:val="nil"/>
                  </w:tcBorders>
                  <w:tcMar>
                    <w:left w:w="0" w:type="dxa"/>
                    <w:right w:w="0" w:type="dxa"/>
                  </w:tcMar>
                  <w:vAlign w:val="center"/>
                </w:tcPr>
                <w:p>
                  <w:pPr>
                    <w:jc w:val="center"/>
                    <w:rPr>
                      <w:rFonts w:ascii="Times New Roman" w:hAnsi="Times New Roman" w:cs="Times New Roman"/>
                      <w:b/>
                      <w:kern w:val="10"/>
                      <w:szCs w:val="21"/>
                    </w:rPr>
                  </w:pPr>
                  <w:r>
                    <w:rPr>
                      <w:rFonts w:ascii="Times New Roman" w:hAnsi="Times New Roman" w:cs="Times New Roman"/>
                      <w:b/>
                      <w:kern w:val="10"/>
                      <w:szCs w:val="21"/>
                    </w:rPr>
                    <w:t>指标</w:t>
                  </w:r>
                </w:p>
              </w:tc>
              <w:tc>
                <w:tcPr>
                  <w:tcW w:w="1988" w:type="dxa"/>
                  <w:tcBorders>
                    <w:tl2br w:val="nil"/>
                    <w:tr2bl w:val="nil"/>
                  </w:tcBorders>
                  <w:tcMar>
                    <w:left w:w="0" w:type="dxa"/>
                    <w:right w:w="0" w:type="dxa"/>
                  </w:tcMar>
                  <w:vAlign w:val="center"/>
                </w:tcPr>
                <w:p>
                  <w:pPr>
                    <w:jc w:val="center"/>
                    <w:rPr>
                      <w:rFonts w:ascii="Times New Roman" w:hAnsi="Times New Roman" w:cs="Times New Roman"/>
                      <w:b/>
                      <w:kern w:val="10"/>
                      <w:szCs w:val="21"/>
                    </w:rPr>
                  </w:pPr>
                  <w:r>
                    <w:rPr>
                      <w:rFonts w:ascii="Times New Roman" w:hAnsi="Times New Roman" w:cs="Times New Roman"/>
                      <w:b/>
                      <w:bCs/>
                      <w:kern w:val="10"/>
                      <w:szCs w:val="21"/>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一</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生产规模</w:t>
                  </w:r>
                </w:p>
              </w:tc>
              <w:tc>
                <w:tcPr>
                  <w:tcW w:w="1172"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c>
                <w:tcPr>
                  <w:tcW w:w="1665"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c>
                <w:tcPr>
                  <w:tcW w:w="1988" w:type="dxa"/>
                  <w:tcBorders>
                    <w:tl2br w:val="nil"/>
                    <w:tr2bl w:val="nil"/>
                  </w:tcBorders>
                  <w:tcMar>
                    <w:left w:w="0" w:type="dxa"/>
                    <w:right w:w="0" w:type="dxa"/>
                  </w:tcMar>
                  <w:vAlign w:val="center"/>
                </w:tcPr>
                <w:p>
                  <w:pPr>
                    <w:jc w:val="center"/>
                    <w:rPr>
                      <w:rFonts w:ascii="Times New Roman" w:hAnsi="Times New Roman" w:cs="Times New Roman"/>
                      <w:bCs/>
                      <w:kern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c>
                <w:tcPr>
                  <w:tcW w:w="3674" w:type="dxa"/>
                  <w:tcBorders>
                    <w:tl2br w:val="nil"/>
                    <w:tr2bl w:val="nil"/>
                  </w:tcBorders>
                  <w:tcMar>
                    <w:left w:w="0" w:type="dxa"/>
                    <w:right w:w="0" w:type="dxa"/>
                  </w:tcMar>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机制石料</w:t>
                  </w:r>
                </w:p>
              </w:tc>
              <w:tc>
                <w:tcPr>
                  <w:tcW w:w="1172" w:type="dxa"/>
                  <w:tcBorders>
                    <w:tl2br w:val="nil"/>
                    <w:tr2bl w:val="nil"/>
                  </w:tcBorders>
                  <w:tcMar>
                    <w:left w:w="0" w:type="dxa"/>
                    <w:right w:w="0" w:type="dxa"/>
                  </w:tcMar>
                  <w:vAlign w:val="center"/>
                </w:tcPr>
                <w:p>
                  <w:pPr>
                    <w:jc w:val="center"/>
                    <w:rPr>
                      <w:rFonts w:ascii="Times New Roman" w:hAnsi="Times New Roman" w:cs="Times New Roman"/>
                      <w:szCs w:val="21"/>
                    </w:rPr>
                  </w:pPr>
                  <w:r>
                    <w:rPr>
                      <w:rFonts w:hint="eastAsia" w:ascii="Times New Roman" w:hAnsi="Times New Roman" w:cs="Times New Roman"/>
                      <w:szCs w:val="21"/>
                    </w:rPr>
                    <w:t>万t</w:t>
                  </w:r>
                  <w:r>
                    <w:rPr>
                      <w:rFonts w:ascii="Times New Roman" w:hAnsi="Times New Roman" w:cs="Times New Roman"/>
                      <w:szCs w:val="21"/>
                    </w:rPr>
                    <w:t>/a</w:t>
                  </w:r>
                </w:p>
              </w:tc>
              <w:tc>
                <w:tcPr>
                  <w:tcW w:w="1665" w:type="dxa"/>
                  <w:tcBorders>
                    <w:tl2br w:val="nil"/>
                    <w:tr2bl w:val="nil"/>
                  </w:tcBorders>
                  <w:tcMar>
                    <w:left w:w="0" w:type="dxa"/>
                    <w:right w:w="0" w:type="dxa"/>
                  </w:tcMar>
                  <w:vAlign w:val="center"/>
                </w:tcPr>
                <w:p>
                  <w:pPr>
                    <w:jc w:val="center"/>
                    <w:rPr>
                      <w:rFonts w:ascii="Times New Roman" w:hAnsi="Times New Roman" w:cs="Times New Roman"/>
                      <w:szCs w:val="21"/>
                    </w:rPr>
                  </w:pPr>
                  <w:r>
                    <w:rPr>
                      <w:rFonts w:hint="eastAsia" w:ascii="Times New Roman" w:hAnsi="Times New Roman" w:cs="Times New Roman"/>
                      <w:szCs w:val="21"/>
                    </w:rPr>
                    <w:t>10</w:t>
                  </w: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hint="eastAsia" w:ascii="Times New Roman" w:hAnsi="Times New Roman" w:cs="Times New Roman"/>
                      <w:kern w:val="1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二</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工作制度</w:t>
                  </w:r>
                </w:p>
              </w:tc>
              <w:tc>
                <w:tcPr>
                  <w:tcW w:w="1172"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c>
                <w:tcPr>
                  <w:tcW w:w="1665"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1</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年工作天数</w:t>
                  </w:r>
                </w:p>
              </w:tc>
              <w:tc>
                <w:tcPr>
                  <w:tcW w:w="1172"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d/a</w:t>
                  </w:r>
                </w:p>
              </w:tc>
              <w:tc>
                <w:tcPr>
                  <w:tcW w:w="1665"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hint="eastAsia" w:ascii="Times New Roman" w:hAnsi="Times New Roman" w:cs="Times New Roman"/>
                      <w:kern w:val="10"/>
                      <w:szCs w:val="21"/>
                    </w:rPr>
                    <w:t>300</w:t>
                  </w: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hint="eastAsia" w:ascii="Times New Roman" w:hAnsi="Times New Roman" w:cs="Times New Roman"/>
                      <w:kern w:val="1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2</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日工作天数</w:t>
                  </w:r>
                </w:p>
              </w:tc>
              <w:tc>
                <w:tcPr>
                  <w:tcW w:w="1172"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h/d</w:t>
                  </w:r>
                </w:p>
              </w:tc>
              <w:tc>
                <w:tcPr>
                  <w:tcW w:w="1665"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hint="eastAsia" w:ascii="Times New Roman" w:hAnsi="Times New Roman" w:cs="Times New Roman"/>
                      <w:kern w:val="10"/>
                      <w:szCs w:val="21"/>
                    </w:rPr>
                    <w:t>8</w:t>
                  </w: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hint="eastAsia" w:ascii="Times New Roman" w:hAnsi="Times New Roman" w:cs="Times New Roman"/>
                      <w:kern w:val="10"/>
                      <w:szCs w:val="21"/>
                    </w:rPr>
                    <w:t>1</w:t>
                  </w:r>
                  <w:r>
                    <w:rPr>
                      <w:rFonts w:ascii="Times New Roman" w:hAnsi="Times New Roman" w:cs="Times New Roman"/>
                      <w:kern w:val="10"/>
                      <w:szCs w:val="21"/>
                    </w:rPr>
                    <w:t>班制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三</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bCs/>
                      <w:kern w:val="10"/>
                      <w:szCs w:val="21"/>
                    </w:rPr>
                    <w:t>全厂</w:t>
                  </w:r>
                  <w:r>
                    <w:rPr>
                      <w:rFonts w:ascii="Times New Roman" w:hAnsi="Times New Roman" w:cs="Times New Roman"/>
                      <w:kern w:val="10"/>
                      <w:szCs w:val="21"/>
                    </w:rPr>
                    <w:t>职工</w:t>
                  </w:r>
                  <w:r>
                    <w:rPr>
                      <w:rFonts w:ascii="Times New Roman" w:hAnsi="Times New Roman" w:cs="Times New Roman"/>
                      <w:bCs/>
                      <w:kern w:val="10"/>
                      <w:szCs w:val="21"/>
                    </w:rPr>
                    <w:t>人数</w:t>
                  </w:r>
                </w:p>
              </w:tc>
              <w:tc>
                <w:tcPr>
                  <w:tcW w:w="1172"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人</w:t>
                  </w:r>
                </w:p>
              </w:tc>
              <w:tc>
                <w:tcPr>
                  <w:tcW w:w="1665"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hint="eastAsia" w:ascii="Times New Roman" w:hAnsi="Times New Roman" w:cs="Times New Roman"/>
                      <w:kern w:val="10"/>
                      <w:szCs w:val="21"/>
                    </w:rPr>
                    <w:t>10</w:t>
                  </w: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四</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占地面积</w:t>
                  </w:r>
                </w:p>
              </w:tc>
              <w:tc>
                <w:tcPr>
                  <w:tcW w:w="1172" w:type="dxa"/>
                  <w:tcBorders>
                    <w:tl2br w:val="nil"/>
                    <w:tr2bl w:val="nil"/>
                  </w:tcBorders>
                  <w:tcMar>
                    <w:left w:w="0" w:type="dxa"/>
                    <w:right w:w="0" w:type="dxa"/>
                  </w:tcMar>
                  <w:vAlign w:val="center"/>
                </w:tcPr>
                <w:p>
                  <w:pPr>
                    <w:jc w:val="center"/>
                    <w:rPr>
                      <w:rFonts w:ascii="Times New Roman" w:hAnsi="Times New Roman" w:cs="Times New Roman"/>
                      <w:color w:val="000000" w:themeColor="text1"/>
                      <w:kern w:val="10"/>
                      <w:szCs w:val="21"/>
                    </w:rPr>
                  </w:pPr>
                  <w:r>
                    <w:rPr>
                      <w:rFonts w:ascii="Times New Roman" w:hAnsi="Times New Roman" w:cs="Times New Roman"/>
                      <w:bCs/>
                      <w:color w:val="000000" w:themeColor="text1"/>
                      <w:szCs w:val="21"/>
                    </w:rPr>
                    <w:t>m</w:t>
                  </w:r>
                  <w:r>
                    <w:rPr>
                      <w:rFonts w:ascii="Times New Roman" w:hAnsi="Times New Roman" w:cs="Times New Roman"/>
                      <w:bCs/>
                      <w:color w:val="000000" w:themeColor="text1"/>
                      <w:szCs w:val="21"/>
                      <w:vertAlign w:val="superscript"/>
                    </w:rPr>
                    <w:t>2</w:t>
                  </w:r>
                </w:p>
              </w:tc>
              <w:tc>
                <w:tcPr>
                  <w:tcW w:w="1665" w:type="dxa"/>
                  <w:tcBorders>
                    <w:tl2br w:val="nil"/>
                    <w:tr2bl w:val="nil"/>
                  </w:tcBorders>
                  <w:tcMar>
                    <w:left w:w="0" w:type="dxa"/>
                    <w:right w:w="0" w:type="dxa"/>
                  </w:tcMar>
                  <w:vAlign w:val="center"/>
                </w:tcPr>
                <w:p>
                  <w:pPr>
                    <w:jc w:val="center"/>
                    <w:rPr>
                      <w:rFonts w:ascii="Times New Roman" w:hAnsi="Times New Roman" w:cs="Times New Roman"/>
                      <w:color w:val="000000" w:themeColor="text1"/>
                      <w:kern w:val="10"/>
                      <w:szCs w:val="21"/>
                    </w:rPr>
                  </w:pPr>
                  <w:r>
                    <w:rPr>
                      <w:rFonts w:hint="eastAsia" w:ascii="Times New Roman" w:hAnsi="Times New Roman" w:cs="Times New Roman"/>
                      <w:color w:val="000000" w:themeColor="text1"/>
                      <w:kern w:val="10"/>
                      <w:szCs w:val="21"/>
                    </w:rPr>
                    <w:t>5927.4</w:t>
                  </w:r>
                  <w:r>
                    <w:rPr>
                      <w:rFonts w:ascii="Times New Roman" w:hAnsi="Times New Roman" w:cs="Times New Roman"/>
                      <w:color w:val="000000" w:themeColor="text1"/>
                      <w:kern w:val="10"/>
                      <w:szCs w:val="21"/>
                    </w:rPr>
                    <w:t>m</w:t>
                  </w:r>
                  <w:r>
                    <w:rPr>
                      <w:rFonts w:ascii="Times New Roman" w:hAnsi="Times New Roman" w:cs="Times New Roman"/>
                      <w:color w:val="000000" w:themeColor="text1"/>
                      <w:kern w:val="10"/>
                      <w:szCs w:val="21"/>
                      <w:vertAlign w:val="superscript"/>
                    </w:rPr>
                    <w:t>2</w:t>
                  </w: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五</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项目投资</w:t>
                  </w:r>
                </w:p>
              </w:tc>
              <w:tc>
                <w:tcPr>
                  <w:tcW w:w="1172"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c>
                <w:tcPr>
                  <w:tcW w:w="1665"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1</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项目总投资</w:t>
                  </w:r>
                </w:p>
              </w:tc>
              <w:tc>
                <w:tcPr>
                  <w:tcW w:w="1172"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万元</w:t>
                  </w:r>
                </w:p>
              </w:tc>
              <w:tc>
                <w:tcPr>
                  <w:tcW w:w="1665"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hint="eastAsia" w:ascii="Times New Roman" w:hAnsi="Times New Roman" w:cs="Times New Roman"/>
                      <w:kern w:val="10"/>
                      <w:szCs w:val="21"/>
                    </w:rPr>
                    <w:t>150</w:t>
                  </w: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 w:hRule="exact"/>
                <w:jc w:val="center"/>
              </w:trPr>
              <w:tc>
                <w:tcPr>
                  <w:tcW w:w="630"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2</w:t>
                  </w:r>
                </w:p>
              </w:tc>
              <w:tc>
                <w:tcPr>
                  <w:tcW w:w="3674"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环保投资</w:t>
                  </w:r>
                </w:p>
              </w:tc>
              <w:tc>
                <w:tcPr>
                  <w:tcW w:w="1172" w:type="dxa"/>
                  <w:tcBorders>
                    <w:tl2br w:val="nil"/>
                    <w:tr2bl w:val="nil"/>
                  </w:tcBorders>
                  <w:tcMar>
                    <w:left w:w="0" w:type="dxa"/>
                    <w:right w:w="0" w:type="dxa"/>
                  </w:tcMar>
                  <w:vAlign w:val="center"/>
                </w:tcPr>
                <w:p>
                  <w:pPr>
                    <w:jc w:val="center"/>
                    <w:rPr>
                      <w:rFonts w:ascii="Times New Roman" w:hAnsi="Times New Roman" w:cs="Times New Roman"/>
                      <w:kern w:val="10"/>
                      <w:szCs w:val="21"/>
                    </w:rPr>
                  </w:pPr>
                  <w:r>
                    <w:rPr>
                      <w:rFonts w:ascii="Times New Roman" w:hAnsi="Times New Roman" w:cs="Times New Roman"/>
                      <w:kern w:val="10"/>
                      <w:szCs w:val="21"/>
                    </w:rPr>
                    <w:t>万元</w:t>
                  </w:r>
                </w:p>
              </w:tc>
              <w:tc>
                <w:tcPr>
                  <w:tcW w:w="1665" w:type="dxa"/>
                  <w:tcBorders>
                    <w:tl2br w:val="nil"/>
                    <w:tr2bl w:val="nil"/>
                  </w:tcBorders>
                  <w:tcMar>
                    <w:left w:w="0" w:type="dxa"/>
                    <w:right w:w="0" w:type="dxa"/>
                  </w:tcMar>
                  <w:vAlign w:val="center"/>
                </w:tcPr>
                <w:p>
                  <w:pPr>
                    <w:pStyle w:val="2"/>
                    <w:jc w:val="center"/>
                    <w:rPr>
                      <w:rFonts w:ascii="Times New Roman" w:cs="Times New Roman" w:eastAsiaTheme="minorEastAsia"/>
                      <w:color w:val="auto"/>
                      <w:sz w:val="21"/>
                      <w:szCs w:val="21"/>
                    </w:rPr>
                  </w:pPr>
                  <w:r>
                    <w:rPr>
                      <w:rFonts w:hint="eastAsia" w:ascii="Times New Roman" w:cs="Times New Roman" w:eastAsiaTheme="minorEastAsia"/>
                      <w:color w:val="000000" w:themeColor="text1"/>
                      <w:kern w:val="10"/>
                      <w:sz w:val="21"/>
                      <w:szCs w:val="21"/>
                    </w:rPr>
                    <w:t>15</w:t>
                  </w:r>
                </w:p>
              </w:tc>
              <w:tc>
                <w:tcPr>
                  <w:tcW w:w="1988" w:type="dxa"/>
                  <w:tcBorders>
                    <w:tl2br w:val="nil"/>
                    <w:tr2bl w:val="nil"/>
                  </w:tcBorders>
                  <w:tcMar>
                    <w:left w:w="0" w:type="dxa"/>
                    <w:right w:w="0" w:type="dxa"/>
                  </w:tcMar>
                  <w:vAlign w:val="center"/>
                </w:tcPr>
                <w:p>
                  <w:pPr>
                    <w:jc w:val="center"/>
                    <w:rPr>
                      <w:rFonts w:ascii="Times New Roman" w:hAnsi="Times New Roman" w:cs="Times New Roman"/>
                      <w:kern w:val="10"/>
                      <w:szCs w:val="21"/>
                    </w:rPr>
                  </w:pPr>
                </w:p>
              </w:tc>
            </w:tr>
          </w:tbl>
          <w:p>
            <w:pPr>
              <w:pStyle w:val="239"/>
              <w:spacing w:line="500" w:lineRule="exact"/>
              <w:ind w:firstLine="482" w:firstLineChars="200"/>
              <w:jc w:val="both"/>
              <w:rPr>
                <w:rFonts w:eastAsiaTheme="minorEastAsia"/>
                <w:b/>
              </w:rPr>
            </w:pPr>
            <w:r>
              <w:rPr>
                <w:rFonts w:eastAsiaTheme="minorEastAsia"/>
                <w:b/>
              </w:rPr>
              <w:t>13</w:t>
            </w:r>
            <w:r>
              <w:rPr>
                <w:rFonts w:hint="eastAsia" w:eastAsiaTheme="minorEastAsia"/>
                <w:b/>
              </w:rPr>
              <w:t>、</w:t>
            </w:r>
            <w:r>
              <w:rPr>
                <w:rFonts w:eastAsiaTheme="minorEastAsia"/>
                <w:b/>
              </w:rPr>
              <w:t>公用工程</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（1）供电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电源接自</w:t>
            </w:r>
            <w:r>
              <w:rPr>
                <w:rFonts w:hint="eastAsia" w:ascii="Times New Roman" w:hAnsi="Times New Roman" w:cs="Times New Roman"/>
                <w:sz w:val="24"/>
                <w:szCs w:val="24"/>
              </w:rPr>
              <w:t>新高乡</w:t>
            </w:r>
            <w:r>
              <w:rPr>
                <w:rFonts w:ascii="Times New Roman" w:hAnsi="Times New Roman" w:cs="Times New Roman"/>
                <w:sz w:val="24"/>
                <w:szCs w:val="24"/>
              </w:rPr>
              <w:t>供电系统，厂区内设1台变压器，项目供电有保障。</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（2）供水</w:t>
            </w:r>
          </w:p>
          <w:p>
            <w:pPr>
              <w:autoSpaceDE w:val="0"/>
              <w:autoSpaceDN w:val="0"/>
              <w:adjustRightInd w:val="0"/>
              <w:snapToGrid w:val="0"/>
              <w:spacing w:line="500" w:lineRule="exact"/>
              <w:ind w:firstLine="480" w:firstLineChars="200"/>
              <w:rPr>
                <w:rFonts w:ascii="Times New Roman" w:hAnsi="Times New Roman" w:cs="Times New Roman"/>
                <w:sz w:val="24"/>
                <w:szCs w:val="24"/>
                <w:lang w:val="zh-CN"/>
              </w:rPr>
            </w:pPr>
            <w:r>
              <w:rPr>
                <w:rFonts w:ascii="Times New Roman" w:hAnsi="Times New Roman" w:cs="Times New Roman"/>
                <w:sz w:val="24"/>
                <w:szCs w:val="24"/>
              </w:rPr>
              <w:t>本项目自备水井，可满足项目用水要求。</w:t>
            </w:r>
            <w:r>
              <w:rPr>
                <w:rFonts w:ascii="Times New Roman" w:hAnsi="Times New Roman" w:cs="Times New Roman"/>
                <w:sz w:val="24"/>
                <w:szCs w:val="24"/>
                <w:lang w:val="zh-CN"/>
              </w:rPr>
              <w:t>本项目主要用水主要包括：生产用水、生活用水、</w:t>
            </w:r>
            <w:r>
              <w:rPr>
                <w:rFonts w:ascii="Times New Roman" w:hAnsi="Times New Roman" w:cs="Times New Roman"/>
                <w:bCs/>
                <w:sz w:val="24"/>
                <w:szCs w:val="24"/>
              </w:rPr>
              <w:t>绿化以及道路用水等</w:t>
            </w:r>
            <w:r>
              <w:rPr>
                <w:rFonts w:ascii="Times New Roman" w:hAnsi="Times New Roman" w:cs="Times New Roman"/>
                <w:sz w:val="24"/>
                <w:szCs w:val="24"/>
                <w:lang w:val="zh-CN"/>
              </w:rPr>
              <w:t>。</w:t>
            </w:r>
          </w:p>
          <w:p>
            <w:pPr>
              <w:pStyle w:val="2"/>
              <w:spacing w:line="500" w:lineRule="exact"/>
              <w:ind w:firstLine="480" w:firstLineChars="200"/>
              <w:jc w:val="both"/>
              <w:rPr>
                <w:rFonts w:ascii="Times New Roman" w:cs="Times New Roman" w:eastAsiaTheme="minorEastAsia"/>
                <w:color w:val="auto"/>
                <w:lang w:val="zh-CN"/>
              </w:rPr>
            </w:pPr>
            <w:r>
              <w:rPr>
                <w:rFonts w:ascii="Times New Roman" w:cs="Times New Roman" w:eastAsiaTheme="minorEastAsia"/>
                <w:color w:val="auto"/>
              </w:rPr>
              <w:t>a、</w:t>
            </w:r>
            <w:r>
              <w:rPr>
                <w:rFonts w:hint="eastAsia" w:ascii="Times New Roman" w:cs="Times New Roman" w:eastAsiaTheme="minorEastAsia"/>
                <w:color w:val="auto"/>
                <w:lang w:val="zh-CN"/>
              </w:rPr>
              <w:t>喷淋降尘</w:t>
            </w:r>
            <w:r>
              <w:rPr>
                <w:rFonts w:ascii="Times New Roman" w:cs="Times New Roman" w:eastAsiaTheme="minorEastAsia"/>
                <w:color w:val="auto"/>
                <w:lang w:val="zh-CN"/>
              </w:rPr>
              <w:t>用水</w:t>
            </w:r>
          </w:p>
          <w:p>
            <w:pPr>
              <w:pStyle w:val="2"/>
              <w:spacing w:line="500" w:lineRule="exact"/>
              <w:ind w:firstLine="480" w:firstLineChars="200"/>
              <w:jc w:val="both"/>
              <w:rPr>
                <w:rFonts w:ascii="Times New Roman" w:cs="Times New Roman" w:eastAsiaTheme="minorEastAsia"/>
                <w:color w:val="auto"/>
              </w:rPr>
            </w:pPr>
            <w:r>
              <w:rPr>
                <w:rFonts w:hint="eastAsia" w:ascii="Times New Roman" w:cs="Times New Roman" w:eastAsiaTheme="minorEastAsia"/>
                <w:color w:val="auto"/>
                <w:lang w:val="zh-CN"/>
              </w:rPr>
              <w:t>环评要求在生产车间、原料区和成品区各设置一个喷雾除尘喷头（共</w:t>
            </w:r>
            <w:r>
              <w:rPr>
                <w:rFonts w:hint="eastAsia" w:ascii="Times New Roman" w:cs="Times New Roman" w:eastAsiaTheme="minorEastAsia"/>
                <w:color w:val="auto"/>
              </w:rPr>
              <w:t>3套喷淋喷头</w:t>
            </w:r>
            <w:r>
              <w:rPr>
                <w:rFonts w:hint="eastAsia" w:ascii="Times New Roman" w:cs="Times New Roman" w:eastAsiaTheme="minorEastAsia"/>
                <w:color w:val="auto"/>
                <w:lang w:val="zh-CN"/>
              </w:rPr>
              <w:t>）。每个喷头喷水速率为</w:t>
            </w:r>
            <w:r>
              <w:rPr>
                <w:rFonts w:hint="eastAsia" w:ascii="Times New Roman" w:cs="Times New Roman" w:eastAsiaTheme="minorEastAsia"/>
                <w:color w:val="auto"/>
              </w:rPr>
              <w:t>60L/h，每天运行8h</w:t>
            </w:r>
            <w:r>
              <w:rPr>
                <w:rFonts w:ascii="Times New Roman" w:cs="Times New Roman" w:eastAsiaTheme="minorEastAsia"/>
                <w:color w:val="auto"/>
                <w:lang w:val="zh-CN"/>
              </w:rPr>
              <w:t>，</w:t>
            </w:r>
            <w:r>
              <w:rPr>
                <w:rFonts w:hint="eastAsia" w:ascii="Times New Roman" w:cs="Times New Roman" w:eastAsiaTheme="minorEastAsia"/>
                <w:color w:val="auto"/>
                <w:lang w:val="zh-CN"/>
              </w:rPr>
              <w:t>则降尘</w:t>
            </w:r>
            <w:r>
              <w:rPr>
                <w:rFonts w:ascii="Times New Roman" w:cs="Times New Roman" w:eastAsiaTheme="minorEastAsia"/>
                <w:color w:val="auto"/>
                <w:lang w:val="zh-CN"/>
              </w:rPr>
              <w:t>用水量为</w:t>
            </w:r>
            <w:r>
              <w:rPr>
                <w:rFonts w:hint="eastAsia" w:ascii="Times New Roman" w:cs="Times New Roman" w:eastAsiaTheme="minorEastAsia"/>
                <w:color w:val="auto"/>
              </w:rPr>
              <w:t>1.44</w:t>
            </w:r>
            <w:r>
              <w:rPr>
                <w:rFonts w:ascii="Times New Roman" w:cs="Times New Roman" w:eastAsiaTheme="minorEastAsia"/>
                <w:color w:val="auto"/>
              </w:rPr>
              <w:t>m</w:t>
            </w:r>
            <w:r>
              <w:rPr>
                <w:rFonts w:ascii="Times New Roman" w:cs="Times New Roman" w:eastAsiaTheme="minorEastAsia"/>
                <w:color w:val="auto"/>
                <w:vertAlign w:val="superscript"/>
              </w:rPr>
              <w:t>3</w:t>
            </w:r>
            <w:r>
              <w:rPr>
                <w:rFonts w:ascii="Times New Roman" w:cs="Times New Roman" w:eastAsiaTheme="minorEastAsia"/>
                <w:color w:val="auto"/>
              </w:rPr>
              <w:t>/d，</w:t>
            </w:r>
            <w:r>
              <w:rPr>
                <w:rFonts w:hint="eastAsia" w:ascii="Times New Roman" w:cs="Times New Roman" w:eastAsiaTheme="minorEastAsia"/>
                <w:color w:val="auto"/>
              </w:rPr>
              <w:t>432</w:t>
            </w:r>
            <w:r>
              <w:rPr>
                <w:rFonts w:ascii="Times New Roman" w:cs="Times New Roman" w:eastAsiaTheme="minorEastAsia"/>
                <w:color w:val="auto"/>
              </w:rPr>
              <w:t>m</w:t>
            </w:r>
            <w:r>
              <w:rPr>
                <w:rFonts w:ascii="Times New Roman" w:cs="Times New Roman" w:eastAsiaTheme="minorEastAsia"/>
                <w:color w:val="auto"/>
                <w:vertAlign w:val="superscript"/>
              </w:rPr>
              <w:t>3</w:t>
            </w:r>
            <w:r>
              <w:rPr>
                <w:rFonts w:ascii="Times New Roman" w:cs="Times New Roman" w:eastAsiaTheme="minorEastAsia"/>
                <w:color w:val="auto"/>
              </w:rPr>
              <w:t>/a。</w:t>
            </w:r>
          </w:p>
          <w:p>
            <w:pPr>
              <w:pStyle w:val="101"/>
              <w:spacing w:line="500" w:lineRule="exact"/>
              <w:ind w:firstLine="480"/>
              <w:rPr>
                <w:rFonts w:eastAsiaTheme="minorEastAsia"/>
              </w:rPr>
            </w:pPr>
            <w:r>
              <w:rPr>
                <w:bCs/>
                <w:szCs w:val="24"/>
              </w:rPr>
              <w:t>b、</w:t>
            </w:r>
            <w:r>
              <w:rPr>
                <w:rFonts w:hint="eastAsia"/>
                <w:bCs/>
                <w:szCs w:val="24"/>
              </w:rPr>
              <w:t>车辆轮胎冲洗</w:t>
            </w:r>
            <w:r>
              <w:rPr>
                <w:bCs/>
                <w:szCs w:val="24"/>
              </w:rPr>
              <w:t>用水</w:t>
            </w:r>
          </w:p>
          <w:p>
            <w:pPr>
              <w:spacing w:line="500" w:lineRule="exact"/>
              <w:ind w:firstLine="480" w:firstLineChars="200"/>
              <w:rPr>
                <w:rFonts w:ascii="Times New Roman" w:hAnsi="Times New Roman" w:cs="Times New Roman"/>
              </w:rPr>
            </w:pPr>
            <w:r>
              <w:rPr>
                <w:rFonts w:hint="eastAsia" w:ascii="Times New Roman" w:hAnsi="Times New Roman" w:cs="Times New Roman"/>
                <w:bCs/>
                <w:sz w:val="24"/>
                <w:szCs w:val="24"/>
              </w:rPr>
              <w:t>环评要求在厂区门口设置1台车辆自动冲洗装置和1座沉淀池（5m</w:t>
            </w:r>
            <w:r>
              <w:rPr>
                <w:rFonts w:hint="eastAsia" w:ascii="Times New Roman" w:hAnsi="Times New Roman" w:cs="Times New Roman"/>
                <w:bCs/>
                <w:sz w:val="24"/>
                <w:szCs w:val="24"/>
                <w:vertAlign w:val="superscript"/>
              </w:rPr>
              <w:t>3</w:t>
            </w:r>
            <w:r>
              <w:rPr>
                <w:rFonts w:hint="eastAsia" w:ascii="Times New Roman" w:hAnsi="Times New Roman" w:cs="Times New Roman"/>
                <w:bCs/>
                <w:sz w:val="24"/>
                <w:szCs w:val="24"/>
              </w:rPr>
              <w:t>）。根据《城镇生活用水定额》（DB14T1049.3-2015），冲洗用水量为100kg/辆，每辆车带走10%计，本项目运输车辆约每年进出厂区6700辆.次，则冲洗水用量为2.2t/d，670t/a；产生废水量约为1.98t/d，594t/a</w:t>
            </w:r>
            <w:r>
              <w:rPr>
                <w:rFonts w:ascii="Times New Roman" w:hAnsi="Times New Roman" w:cs="Times New Roman"/>
                <w:bCs/>
                <w:sz w:val="24"/>
                <w:szCs w:val="24"/>
              </w:rPr>
              <w:t>。</w:t>
            </w:r>
            <w:r>
              <w:rPr>
                <w:rFonts w:hint="eastAsia" w:ascii="Times New Roman" w:hAnsi="Times New Roman" w:cs="Times New Roman"/>
                <w:bCs/>
                <w:sz w:val="24"/>
                <w:szCs w:val="24"/>
              </w:rPr>
              <w:t>冲洗废水经沉淀后回用，不外排。</w:t>
            </w:r>
          </w:p>
          <w:p>
            <w:pPr>
              <w:spacing w:line="500" w:lineRule="exact"/>
              <w:ind w:firstLine="480" w:firstLineChars="200"/>
              <w:rPr>
                <w:rFonts w:ascii="Times New Roman" w:hAnsi="Times New Roman" w:cs="Times New Roman"/>
                <w:sz w:val="24"/>
                <w:szCs w:val="24"/>
              </w:rPr>
            </w:pPr>
            <w:r>
              <w:rPr>
                <w:rFonts w:ascii="Times New Roman" w:hAnsi="Times New Roman" w:cs="Times New Roman"/>
                <w:bCs/>
                <w:sz w:val="24"/>
                <w:szCs w:val="24"/>
              </w:rPr>
              <w:t>c、生活用水：</w:t>
            </w:r>
            <w:r>
              <w:rPr>
                <w:rFonts w:ascii="Times New Roman" w:hAnsi="Times New Roman" w:cs="Times New Roman"/>
                <w:sz w:val="24"/>
                <w:szCs w:val="24"/>
              </w:rPr>
              <w:t>本项目的职工为当地居民，厂区不提供食宿。根据《山西省用水定额》（DB14/T1049-2015），职工每人每天的生活用水量按照30L/人·d，本项目职工定员1</w:t>
            </w:r>
            <w:r>
              <w:rPr>
                <w:rFonts w:hint="eastAsia" w:ascii="Times New Roman" w:hAnsi="Times New Roman" w:cs="Times New Roman"/>
                <w:sz w:val="24"/>
                <w:szCs w:val="24"/>
              </w:rPr>
              <w:t>0</w:t>
            </w:r>
            <w:r>
              <w:rPr>
                <w:rFonts w:ascii="Times New Roman" w:hAnsi="Times New Roman" w:cs="Times New Roman"/>
                <w:sz w:val="24"/>
                <w:szCs w:val="24"/>
              </w:rPr>
              <w:t>人，则</w:t>
            </w:r>
            <w:r>
              <w:rPr>
                <w:rFonts w:ascii="Times New Roman" w:hAnsi="Times New Roman" w:cs="Times New Roman"/>
                <w:bCs/>
                <w:sz w:val="24"/>
                <w:szCs w:val="24"/>
              </w:rPr>
              <w:t>该厂的职工日用水量为0.</w:t>
            </w:r>
            <w:r>
              <w:rPr>
                <w:rFonts w:hint="eastAsia" w:ascii="Times New Roman" w:hAnsi="Times New Roman" w:cs="Times New Roman"/>
                <w:bCs/>
                <w:sz w:val="24"/>
                <w:szCs w:val="24"/>
              </w:rPr>
              <w:t>3</w:t>
            </w:r>
            <w:r>
              <w:rPr>
                <w:rFonts w:ascii="Times New Roman" w:hAnsi="Times New Roman" w:cs="Times New Roman"/>
                <w:bCs/>
                <w:sz w:val="24"/>
                <w:szCs w:val="24"/>
              </w:rPr>
              <w:t>m</w:t>
            </w:r>
            <w:r>
              <w:rPr>
                <w:rFonts w:ascii="Times New Roman" w:hAnsi="Times New Roman" w:cs="Times New Roman"/>
                <w:bCs/>
                <w:sz w:val="24"/>
                <w:szCs w:val="24"/>
                <w:vertAlign w:val="superscript"/>
              </w:rPr>
              <w:t>3</w:t>
            </w:r>
            <w:r>
              <w:rPr>
                <w:rFonts w:ascii="Times New Roman" w:hAnsi="Times New Roman" w:cs="Times New Roman"/>
                <w:bCs/>
                <w:sz w:val="24"/>
                <w:szCs w:val="24"/>
              </w:rPr>
              <w:t>，</w:t>
            </w:r>
            <w:r>
              <w:rPr>
                <w:rFonts w:ascii="Times New Roman" w:hAnsi="Times New Roman" w:cs="Times New Roman"/>
                <w:sz w:val="24"/>
                <w:szCs w:val="24"/>
              </w:rPr>
              <w:t>工作天数按</w:t>
            </w:r>
            <w:r>
              <w:rPr>
                <w:rFonts w:hint="eastAsia" w:ascii="Times New Roman" w:hAnsi="Times New Roman" w:cs="Times New Roman"/>
                <w:sz w:val="24"/>
                <w:szCs w:val="24"/>
              </w:rPr>
              <w:t>300</w:t>
            </w:r>
            <w:r>
              <w:rPr>
                <w:rFonts w:ascii="Times New Roman" w:hAnsi="Times New Roman" w:cs="Times New Roman"/>
                <w:sz w:val="24"/>
                <w:szCs w:val="24"/>
              </w:rPr>
              <w:t>天计，</w:t>
            </w:r>
            <w:r>
              <w:rPr>
                <w:rFonts w:ascii="Times New Roman" w:hAnsi="Times New Roman" w:cs="Times New Roman"/>
                <w:bCs/>
                <w:sz w:val="24"/>
                <w:szCs w:val="24"/>
              </w:rPr>
              <w:t>年用水量为</w:t>
            </w:r>
            <w:r>
              <w:rPr>
                <w:rFonts w:hint="eastAsia" w:ascii="Times New Roman" w:hAnsi="Times New Roman" w:cs="Times New Roman"/>
                <w:sz w:val="24"/>
                <w:szCs w:val="24"/>
              </w:rPr>
              <w:t>90</w:t>
            </w:r>
            <w:r>
              <w:rPr>
                <w:rFonts w:ascii="Times New Roman" w:hAnsi="Times New Roman" w:cs="Times New Roman"/>
                <w:bCs/>
                <w:sz w:val="24"/>
                <w:szCs w:val="24"/>
              </w:rPr>
              <w:t>m</w:t>
            </w:r>
            <w:r>
              <w:rPr>
                <w:rFonts w:ascii="Times New Roman" w:hAnsi="Times New Roman" w:cs="Times New Roman"/>
                <w:bCs/>
                <w:sz w:val="24"/>
                <w:szCs w:val="24"/>
                <w:vertAlign w:val="superscript"/>
              </w:rPr>
              <w:t>3</w:t>
            </w:r>
            <w:r>
              <w:rPr>
                <w:rFonts w:ascii="Times New Roman" w:hAnsi="Times New Roman" w:cs="Times New Roman"/>
                <w:sz w:val="24"/>
                <w:szCs w:val="24"/>
              </w:rPr>
              <w:t>。</w:t>
            </w:r>
          </w:p>
          <w:p>
            <w:pPr>
              <w:pStyle w:val="101"/>
              <w:spacing w:line="500" w:lineRule="exact"/>
              <w:ind w:firstLine="480"/>
              <w:rPr>
                <w:rFonts w:eastAsiaTheme="minorEastAsia"/>
                <w:szCs w:val="24"/>
              </w:rPr>
            </w:pPr>
            <w:r>
              <w:rPr>
                <w:rFonts w:hint="eastAsia" w:eastAsiaTheme="minorEastAsia"/>
                <w:szCs w:val="24"/>
              </w:rPr>
              <w:t>e</w:t>
            </w:r>
            <w:r>
              <w:rPr>
                <w:rFonts w:eastAsiaTheme="minorEastAsia"/>
                <w:szCs w:val="24"/>
              </w:rPr>
              <w:t>、</w:t>
            </w:r>
            <w:r>
              <w:rPr>
                <w:rFonts w:eastAsiaTheme="minorEastAsia"/>
                <w:bCs/>
                <w:szCs w:val="24"/>
              </w:rPr>
              <w:t>道路洒水：</w:t>
            </w:r>
            <w:r>
              <w:rPr>
                <w:rFonts w:eastAsiaTheme="minorEastAsia"/>
                <w:szCs w:val="24"/>
              </w:rPr>
              <w:t>厂区道路面积约为</w:t>
            </w:r>
            <w:r>
              <w:rPr>
                <w:rFonts w:hint="eastAsia" w:eastAsiaTheme="minorEastAsia"/>
                <w:szCs w:val="24"/>
              </w:rPr>
              <w:t>1000</w:t>
            </w:r>
            <w:r>
              <w:rPr>
                <w:rFonts w:eastAsiaTheme="minorEastAsia"/>
                <w:szCs w:val="24"/>
              </w:rPr>
              <w:t>m</w:t>
            </w:r>
            <w:r>
              <w:rPr>
                <w:rFonts w:eastAsiaTheme="minorEastAsia"/>
                <w:szCs w:val="24"/>
                <w:vertAlign w:val="superscript"/>
              </w:rPr>
              <w:t>2</w:t>
            </w:r>
            <w:r>
              <w:rPr>
                <w:rFonts w:eastAsiaTheme="minorEastAsia"/>
                <w:szCs w:val="24"/>
              </w:rPr>
              <w:t>，根</w:t>
            </w:r>
            <w:r>
              <w:rPr>
                <w:rFonts w:eastAsiaTheme="minorEastAsia"/>
                <w:bCs/>
                <w:szCs w:val="24"/>
              </w:rPr>
              <w:t>据《山西省用水定额》（DB14/T1049-2015），</w:t>
            </w:r>
            <w:r>
              <w:rPr>
                <w:rFonts w:eastAsiaTheme="minorEastAsia"/>
                <w:szCs w:val="24"/>
              </w:rPr>
              <w:t>道路洒水0.3L/m</w:t>
            </w:r>
            <w:r>
              <w:rPr>
                <w:rFonts w:eastAsiaTheme="minorEastAsia"/>
                <w:szCs w:val="24"/>
                <w:vertAlign w:val="superscript"/>
              </w:rPr>
              <w:t>2</w:t>
            </w:r>
            <w:r>
              <w:rPr>
                <w:rFonts w:eastAsiaTheme="minorEastAsia"/>
                <w:szCs w:val="24"/>
              </w:rPr>
              <w:t>·次，1次/d，</w:t>
            </w:r>
            <w:r>
              <w:rPr>
                <w:rFonts w:hint="eastAsia" w:eastAsiaTheme="minorEastAsia"/>
                <w:szCs w:val="24"/>
              </w:rPr>
              <w:t>本项目生活废水沉淀后用于</w:t>
            </w:r>
            <w:r>
              <w:rPr>
                <w:rFonts w:eastAsiaTheme="minorEastAsia"/>
                <w:szCs w:val="24"/>
              </w:rPr>
              <w:t>道路洒水量为</w:t>
            </w:r>
            <w:r>
              <w:rPr>
                <w:rFonts w:hint="eastAsia" w:eastAsiaTheme="minorEastAsia"/>
                <w:szCs w:val="24"/>
              </w:rPr>
              <w:t>0.312m</w:t>
            </w:r>
            <w:r>
              <w:rPr>
                <w:rFonts w:hint="eastAsia" w:eastAsiaTheme="minorEastAsia"/>
                <w:szCs w:val="24"/>
                <w:vertAlign w:val="superscript"/>
              </w:rPr>
              <w:t>3</w:t>
            </w:r>
            <w:r>
              <w:rPr>
                <w:rFonts w:hint="eastAsia" w:eastAsiaTheme="minorEastAsia"/>
                <w:szCs w:val="24"/>
              </w:rPr>
              <w:t>/d，93.6</w:t>
            </w:r>
            <w:r>
              <w:rPr>
                <w:rFonts w:eastAsiaTheme="minorEastAsia"/>
                <w:szCs w:val="24"/>
              </w:rPr>
              <w:t>m</w:t>
            </w:r>
            <w:r>
              <w:rPr>
                <w:rFonts w:eastAsiaTheme="minorEastAsia"/>
                <w:szCs w:val="24"/>
                <w:vertAlign w:val="superscript"/>
              </w:rPr>
              <w:t>3</w:t>
            </w:r>
            <w:r>
              <w:rPr>
                <w:rFonts w:eastAsiaTheme="minorEastAsia"/>
                <w:szCs w:val="24"/>
              </w:rPr>
              <w:t>/a。</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（3）排水</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本项目无生产废水</w:t>
            </w:r>
            <w:r>
              <w:rPr>
                <w:rFonts w:hint="eastAsia" w:ascii="Times New Roman" w:hAnsi="Times New Roman" w:cs="Times New Roman"/>
                <w:sz w:val="24"/>
                <w:szCs w:val="24"/>
              </w:rPr>
              <w:t>产生</w:t>
            </w:r>
            <w:r>
              <w:rPr>
                <w:rFonts w:ascii="Times New Roman" w:hAnsi="Times New Roman" w:cs="Times New Roman"/>
                <w:sz w:val="24"/>
                <w:szCs w:val="24"/>
              </w:rPr>
              <w:t>；</w:t>
            </w:r>
            <w:r>
              <w:rPr>
                <w:rFonts w:ascii="Times New Roman" w:hAnsi="Times New Roman" w:cs="Times New Roman"/>
                <w:sz w:val="24"/>
              </w:rPr>
              <w:t>运输车辆冲洗用水经</w:t>
            </w:r>
            <w:r>
              <w:rPr>
                <w:rFonts w:hint="eastAsia" w:ascii="Times New Roman" w:hAnsi="Times New Roman" w:cs="Times New Roman"/>
                <w:sz w:val="24"/>
              </w:rPr>
              <w:t>沉淀池</w:t>
            </w:r>
            <w:r>
              <w:rPr>
                <w:rFonts w:ascii="Times New Roman" w:hAnsi="Times New Roman" w:cs="Times New Roman"/>
                <w:sz w:val="24"/>
              </w:rPr>
              <w:t>循环利用，不外排</w:t>
            </w:r>
            <w:r>
              <w:rPr>
                <w:rFonts w:hint="eastAsia" w:ascii="Times New Roman" w:hAnsi="Times New Roman" w:cs="Times New Roman"/>
                <w:sz w:val="24"/>
              </w:rPr>
              <w:t>；降尘用水自然蒸发，不外排</w:t>
            </w:r>
            <w:r>
              <w:rPr>
                <w:rFonts w:ascii="Times New Roman" w:hAnsi="Times New Roman" w:cs="Times New Roman"/>
                <w:sz w:val="24"/>
                <w:szCs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职工日常污水排放量按照用水量的80%计算，则本项目的生活污水日排放量约为</w:t>
            </w:r>
            <w:r>
              <w:rPr>
                <w:rFonts w:hint="eastAsia" w:ascii="Times New Roman" w:hAnsi="Times New Roman" w:cs="Times New Roman"/>
                <w:sz w:val="24"/>
                <w:szCs w:val="24"/>
              </w:rPr>
              <w:t>0.24</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/d，</w:t>
            </w:r>
            <w:r>
              <w:rPr>
                <w:rFonts w:ascii="Times New Roman" w:hAnsi="Times New Roman" w:cs="Times New Roman"/>
                <w:bCs/>
                <w:sz w:val="24"/>
                <w:szCs w:val="24"/>
              </w:rPr>
              <w:t>年排水量为</w:t>
            </w:r>
            <w:r>
              <w:rPr>
                <w:rFonts w:hint="eastAsia" w:ascii="Times New Roman" w:hAnsi="Times New Roman" w:cs="Times New Roman"/>
                <w:bCs/>
                <w:sz w:val="24"/>
                <w:szCs w:val="24"/>
              </w:rPr>
              <w:t>72</w:t>
            </w:r>
            <w:r>
              <w:rPr>
                <w:rFonts w:ascii="Times New Roman" w:hAnsi="Times New Roman" w:cs="Times New Roman"/>
                <w:bCs/>
                <w:sz w:val="24"/>
                <w:szCs w:val="24"/>
              </w:rPr>
              <w:t>m</w:t>
            </w:r>
            <w:r>
              <w:rPr>
                <w:rFonts w:ascii="Times New Roman" w:hAnsi="Times New Roman" w:cs="Times New Roman"/>
                <w:bCs/>
                <w:sz w:val="24"/>
                <w:szCs w:val="24"/>
                <w:vertAlign w:val="superscript"/>
              </w:rPr>
              <w:t>3</w:t>
            </w:r>
            <w:r>
              <w:rPr>
                <w:rFonts w:ascii="Times New Roman" w:hAnsi="Times New Roman" w:cs="Times New Roman"/>
                <w:bCs/>
                <w:sz w:val="24"/>
                <w:szCs w:val="24"/>
              </w:rPr>
              <w:t>，</w:t>
            </w:r>
            <w:r>
              <w:rPr>
                <w:rFonts w:ascii="Times New Roman" w:hAnsi="Times New Roman" w:cs="Times New Roman"/>
                <w:sz w:val="24"/>
                <w:szCs w:val="24"/>
              </w:rPr>
              <w:t>由于生活污水主要为洗漱废水，水质简单，可用于道路厂区洒水抑尘，不外排。</w:t>
            </w:r>
          </w:p>
          <w:p>
            <w:pPr>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厕所使用旱厕，定期清掏用于周围农田施肥。</w:t>
            </w:r>
          </w:p>
          <w:p>
            <w:pPr>
              <w:pStyle w:val="19"/>
              <w:numPr>
                <w:ilvl w:val="0"/>
                <w:numId w:val="2"/>
              </w:numPr>
              <w:spacing w:line="500" w:lineRule="exact"/>
              <w:ind w:firstLine="480" w:firstLineChars="200"/>
              <w:jc w:val="both"/>
              <w:rPr>
                <w:rFonts w:eastAsiaTheme="minorEastAsia"/>
                <w:kern w:val="10"/>
                <w:sz w:val="24"/>
              </w:rPr>
            </w:pPr>
            <w:r>
              <w:rPr>
                <w:rFonts w:hint="eastAsia" w:eastAsiaTheme="minorEastAsia"/>
                <w:kern w:val="10"/>
                <w:sz w:val="24"/>
              </w:rPr>
              <w:t>绿化用水</w:t>
            </w:r>
          </w:p>
          <w:p>
            <w:pPr>
              <w:spacing w:line="500" w:lineRule="exact"/>
              <w:ind w:firstLine="480" w:firstLineChars="200"/>
              <w:rPr>
                <w:rFonts w:ascii="Times New Roman" w:hAnsi="Times New Roman" w:cs="Times New Roman"/>
                <w:bCs/>
                <w:sz w:val="24"/>
                <w:szCs w:val="24"/>
              </w:rPr>
            </w:pPr>
            <w:r>
              <w:rPr>
                <w:rFonts w:hint="eastAsia" w:cs="Times New Roman"/>
                <w:kern w:val="10"/>
                <w:sz w:val="24"/>
              </w:rPr>
              <w:t>本项目绿化面积约</w:t>
            </w:r>
            <w:r>
              <w:rPr>
                <w:rFonts w:hint="eastAsia" w:ascii="Times New Roman" w:hAnsi="Times New Roman" w:cs="Times New Roman"/>
                <w:bCs/>
                <w:sz w:val="24"/>
                <w:szCs w:val="24"/>
              </w:rPr>
              <w:t>为1000平方</w:t>
            </w:r>
            <w:r>
              <w:rPr>
                <w:rFonts w:hint="eastAsia" w:cs="Times New Roman"/>
                <w:kern w:val="10"/>
                <w:sz w:val="24"/>
              </w:rPr>
              <w:t>米，按照用水定额，非采</w:t>
            </w:r>
            <w:r>
              <w:rPr>
                <w:rFonts w:hint="eastAsia" w:ascii="Times New Roman" w:hAnsi="Times New Roman" w:cs="Times New Roman"/>
                <w:bCs/>
                <w:sz w:val="24"/>
                <w:szCs w:val="24"/>
              </w:rPr>
              <w:t>暖季用水定额为0.12m</w:t>
            </w:r>
            <w:r>
              <w:rPr>
                <w:rFonts w:hint="eastAsia" w:ascii="Times New Roman" w:hAnsi="Times New Roman" w:cs="Times New Roman"/>
                <w:bCs/>
                <w:sz w:val="24"/>
                <w:szCs w:val="24"/>
                <w:vertAlign w:val="superscript"/>
              </w:rPr>
              <w:t>3</w:t>
            </w:r>
            <w:r>
              <w:rPr>
                <w:rFonts w:hint="eastAsia" w:ascii="Times New Roman" w:hAnsi="Times New Roman" w:cs="Times New Roman"/>
                <w:bCs/>
                <w:sz w:val="24"/>
                <w:szCs w:val="24"/>
              </w:rPr>
              <w:t>/m</w:t>
            </w:r>
            <w:r>
              <w:rPr>
                <w:rFonts w:hint="eastAsia" w:ascii="Times New Roman" w:hAnsi="Times New Roman" w:cs="Times New Roman"/>
                <w:bCs/>
                <w:sz w:val="24"/>
                <w:szCs w:val="24"/>
                <w:vertAlign w:val="superscript"/>
              </w:rPr>
              <w:t>2</w:t>
            </w:r>
            <w:r>
              <w:rPr>
                <w:rFonts w:hint="eastAsia" w:ascii="Times New Roman" w:hAnsi="Times New Roman" w:cs="Times New Roman"/>
                <w:bCs/>
                <w:sz w:val="24"/>
                <w:szCs w:val="24"/>
              </w:rPr>
              <w:t>.a，则总用水量为120t/a（6t/d）；采暖季不进行绿化。</w:t>
            </w:r>
          </w:p>
          <w:p>
            <w:pPr>
              <w:pStyle w:val="19"/>
              <w:spacing w:line="500" w:lineRule="exact"/>
              <w:ind w:firstLine="480" w:firstLineChars="200"/>
              <w:jc w:val="both"/>
              <w:rPr>
                <w:rFonts w:eastAsiaTheme="minorEastAsia"/>
                <w:sz w:val="24"/>
              </w:rPr>
            </w:pPr>
            <w:r>
              <w:rPr>
                <w:rFonts w:eastAsiaTheme="minorEastAsia"/>
                <w:kern w:val="10"/>
                <w:sz w:val="24"/>
              </w:rPr>
              <w:t>项目运营期用、排水情况见下表1-7。水平衡图见图1-1。</w:t>
            </w:r>
          </w:p>
          <w:p>
            <w:pPr>
              <w:spacing w:line="500" w:lineRule="exact"/>
              <w:jc w:val="center"/>
              <w:rPr>
                <w:rFonts w:ascii="Times New Roman" w:hAnsi="Times New Roman" w:cs="Times New Roman"/>
                <w:b/>
                <w:szCs w:val="21"/>
              </w:rPr>
            </w:pPr>
            <w:r>
              <w:rPr>
                <w:rFonts w:ascii="Times New Roman" w:hAnsi="Times New Roman" w:cs="Times New Roman"/>
                <w:b/>
                <w:szCs w:val="21"/>
              </w:rPr>
              <w:t>表1-7   项目用、排水量表</w:t>
            </w:r>
          </w:p>
          <w:tbl>
            <w:tblPr>
              <w:tblStyle w:val="40"/>
              <w:tblW w:w="90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72"/>
              <w:gridCol w:w="1419"/>
              <w:gridCol w:w="1305"/>
              <w:gridCol w:w="1605"/>
              <w:gridCol w:w="1095"/>
              <w:gridCol w:w="2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2"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类别</w:t>
                  </w:r>
                </w:p>
              </w:tc>
              <w:tc>
                <w:tcPr>
                  <w:tcW w:w="1419"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消耗量（m</w:t>
                  </w:r>
                  <w:r>
                    <w:rPr>
                      <w:rFonts w:ascii="Times New Roman" w:hAnsi="Times New Roman" w:cs="Times New Roman"/>
                      <w:b/>
                      <w:szCs w:val="21"/>
                      <w:vertAlign w:val="superscript"/>
                    </w:rPr>
                    <w:t>3</w:t>
                  </w:r>
                  <w:r>
                    <w:rPr>
                      <w:rFonts w:ascii="Times New Roman" w:hAnsi="Times New Roman" w:cs="Times New Roman"/>
                      <w:b/>
                      <w:szCs w:val="21"/>
                    </w:rPr>
                    <w:t>/</w:t>
                  </w:r>
                  <w:r>
                    <w:rPr>
                      <w:rFonts w:hint="eastAsia" w:ascii="Times New Roman" w:hAnsi="Times New Roman" w:cs="Times New Roman"/>
                      <w:b/>
                      <w:szCs w:val="21"/>
                    </w:rPr>
                    <w:t>d</w:t>
                  </w:r>
                  <w:r>
                    <w:rPr>
                      <w:rFonts w:ascii="Times New Roman" w:hAnsi="Times New Roman" w:cs="Times New Roman"/>
                      <w:b/>
                      <w:szCs w:val="21"/>
                    </w:rPr>
                    <w:t>）</w:t>
                  </w:r>
                </w:p>
              </w:tc>
              <w:tc>
                <w:tcPr>
                  <w:tcW w:w="1305"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新鲜水量（m</w:t>
                  </w:r>
                  <w:r>
                    <w:rPr>
                      <w:rFonts w:ascii="Times New Roman" w:hAnsi="Times New Roman" w:cs="Times New Roman"/>
                      <w:b/>
                      <w:szCs w:val="21"/>
                      <w:vertAlign w:val="superscript"/>
                    </w:rPr>
                    <w:t>3</w:t>
                  </w:r>
                  <w:r>
                    <w:rPr>
                      <w:rFonts w:ascii="Times New Roman" w:hAnsi="Times New Roman" w:cs="Times New Roman"/>
                      <w:b/>
                      <w:szCs w:val="21"/>
                    </w:rPr>
                    <w:t>/</w:t>
                  </w:r>
                  <w:r>
                    <w:rPr>
                      <w:rFonts w:hint="eastAsia" w:ascii="Times New Roman" w:hAnsi="Times New Roman" w:cs="Times New Roman"/>
                      <w:b/>
                      <w:szCs w:val="21"/>
                    </w:rPr>
                    <w:t>d</w:t>
                  </w:r>
                  <w:r>
                    <w:rPr>
                      <w:rFonts w:ascii="Times New Roman" w:hAnsi="Times New Roman" w:cs="Times New Roman"/>
                      <w:b/>
                      <w:szCs w:val="21"/>
                    </w:rPr>
                    <w:t>）</w:t>
                  </w:r>
                </w:p>
              </w:tc>
              <w:tc>
                <w:tcPr>
                  <w:tcW w:w="1605"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回用水量（m</w:t>
                  </w:r>
                  <w:r>
                    <w:rPr>
                      <w:rFonts w:ascii="Times New Roman" w:hAnsi="Times New Roman" w:cs="Times New Roman"/>
                      <w:b/>
                      <w:szCs w:val="21"/>
                      <w:vertAlign w:val="superscript"/>
                    </w:rPr>
                    <w:t>3</w:t>
                  </w:r>
                  <w:r>
                    <w:rPr>
                      <w:rFonts w:ascii="Times New Roman" w:hAnsi="Times New Roman" w:cs="Times New Roman"/>
                      <w:b/>
                      <w:szCs w:val="21"/>
                    </w:rPr>
                    <w:t>/</w:t>
                  </w:r>
                  <w:r>
                    <w:rPr>
                      <w:rFonts w:hint="eastAsia" w:ascii="Times New Roman" w:hAnsi="Times New Roman" w:cs="Times New Roman"/>
                      <w:b/>
                      <w:szCs w:val="21"/>
                    </w:rPr>
                    <w:t>d</w:t>
                  </w:r>
                  <w:r>
                    <w:rPr>
                      <w:rFonts w:ascii="Times New Roman" w:hAnsi="Times New Roman" w:cs="Times New Roman"/>
                      <w:b/>
                      <w:szCs w:val="21"/>
                    </w:rPr>
                    <w:t>）</w:t>
                  </w:r>
                </w:p>
              </w:tc>
              <w:tc>
                <w:tcPr>
                  <w:tcW w:w="1095"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排水量（m</w:t>
                  </w:r>
                  <w:r>
                    <w:rPr>
                      <w:rFonts w:ascii="Times New Roman" w:hAnsi="Times New Roman" w:cs="Times New Roman"/>
                      <w:b/>
                      <w:szCs w:val="21"/>
                      <w:vertAlign w:val="superscript"/>
                    </w:rPr>
                    <w:t>3</w:t>
                  </w:r>
                  <w:r>
                    <w:rPr>
                      <w:rFonts w:ascii="Times New Roman" w:hAnsi="Times New Roman" w:cs="Times New Roman"/>
                      <w:b/>
                      <w:szCs w:val="21"/>
                    </w:rPr>
                    <w:t>/</w:t>
                  </w:r>
                  <w:r>
                    <w:rPr>
                      <w:rFonts w:hint="eastAsia" w:ascii="Times New Roman" w:hAnsi="Times New Roman" w:cs="Times New Roman"/>
                      <w:b/>
                      <w:szCs w:val="21"/>
                    </w:rPr>
                    <w:t>d</w:t>
                  </w:r>
                  <w:r>
                    <w:rPr>
                      <w:rFonts w:ascii="Times New Roman" w:hAnsi="Times New Roman" w:cs="Times New Roman"/>
                      <w:b/>
                      <w:szCs w:val="21"/>
                    </w:rPr>
                    <w:t>）</w:t>
                  </w:r>
                </w:p>
              </w:tc>
              <w:tc>
                <w:tcPr>
                  <w:tcW w:w="2060"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1572"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抑尘用水</w:t>
                  </w:r>
                </w:p>
              </w:tc>
              <w:tc>
                <w:tcPr>
                  <w:tcW w:w="1419"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1.44</w:t>
                  </w:r>
                </w:p>
              </w:tc>
              <w:tc>
                <w:tcPr>
                  <w:tcW w:w="130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1.44</w:t>
                  </w:r>
                </w:p>
              </w:tc>
              <w:tc>
                <w:tcPr>
                  <w:tcW w:w="1605"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0</w:t>
                  </w:r>
                </w:p>
              </w:tc>
              <w:tc>
                <w:tcPr>
                  <w:tcW w:w="1095"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0</w:t>
                  </w:r>
                </w:p>
              </w:tc>
              <w:tc>
                <w:tcPr>
                  <w:tcW w:w="2060"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蒸发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2"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洗车用水</w:t>
                  </w:r>
                </w:p>
              </w:tc>
              <w:tc>
                <w:tcPr>
                  <w:tcW w:w="1419"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0.22</w:t>
                  </w:r>
                </w:p>
              </w:tc>
              <w:tc>
                <w:tcPr>
                  <w:tcW w:w="130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0.22</w:t>
                  </w:r>
                </w:p>
              </w:tc>
              <w:tc>
                <w:tcPr>
                  <w:tcW w:w="160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w:t>
                  </w:r>
                </w:p>
              </w:tc>
              <w:tc>
                <w:tcPr>
                  <w:tcW w:w="109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w:t>
                  </w:r>
                </w:p>
              </w:tc>
              <w:tc>
                <w:tcPr>
                  <w:tcW w:w="2060"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循环利用不外排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2"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生活用水</w:t>
                  </w:r>
                </w:p>
              </w:tc>
              <w:tc>
                <w:tcPr>
                  <w:tcW w:w="1419"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0.06</w:t>
                  </w:r>
                </w:p>
              </w:tc>
              <w:tc>
                <w:tcPr>
                  <w:tcW w:w="130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0.3</w:t>
                  </w:r>
                </w:p>
              </w:tc>
              <w:tc>
                <w:tcPr>
                  <w:tcW w:w="1605"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0</w:t>
                  </w:r>
                </w:p>
              </w:tc>
              <w:tc>
                <w:tcPr>
                  <w:tcW w:w="109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0.24</w:t>
                  </w:r>
                </w:p>
              </w:tc>
              <w:tc>
                <w:tcPr>
                  <w:tcW w:w="2060"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回用于道路洒水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2"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道路洒水</w:t>
                  </w:r>
                </w:p>
              </w:tc>
              <w:tc>
                <w:tcPr>
                  <w:tcW w:w="1419"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0.312</w:t>
                  </w:r>
                </w:p>
              </w:tc>
              <w:tc>
                <w:tcPr>
                  <w:tcW w:w="130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0.088</w:t>
                  </w:r>
                </w:p>
              </w:tc>
              <w:tc>
                <w:tcPr>
                  <w:tcW w:w="160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0.24</w:t>
                  </w:r>
                </w:p>
              </w:tc>
              <w:tc>
                <w:tcPr>
                  <w:tcW w:w="1095"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0</w:t>
                  </w:r>
                </w:p>
              </w:tc>
              <w:tc>
                <w:tcPr>
                  <w:tcW w:w="2060"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蒸发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72"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绿化用水</w:t>
                  </w:r>
                </w:p>
              </w:tc>
              <w:tc>
                <w:tcPr>
                  <w:tcW w:w="1419"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6</w:t>
                  </w:r>
                </w:p>
              </w:tc>
              <w:tc>
                <w:tcPr>
                  <w:tcW w:w="130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6</w:t>
                  </w:r>
                </w:p>
              </w:tc>
              <w:tc>
                <w:tcPr>
                  <w:tcW w:w="160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w:t>
                  </w:r>
                </w:p>
              </w:tc>
              <w:tc>
                <w:tcPr>
                  <w:tcW w:w="1095"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0</w:t>
                  </w:r>
                </w:p>
              </w:tc>
              <w:tc>
                <w:tcPr>
                  <w:tcW w:w="2060"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蒸发</w:t>
                  </w:r>
                  <w:r>
                    <w:rPr>
                      <w:rFonts w:hint="eastAsia" w:ascii="Times New Roman" w:hAnsi="Times New Roman" w:cs="Times New Roman"/>
                      <w:bCs/>
                      <w:szCs w:val="21"/>
                    </w:rPr>
                    <w:t>（非采暖季）</w:t>
                  </w:r>
                </w:p>
              </w:tc>
            </w:tr>
          </w:tbl>
          <w:p>
            <w:pPr>
              <w:spacing w:line="500" w:lineRule="exact"/>
              <w:rPr>
                <w:rFonts w:ascii="Times New Roman" w:hAnsi="Times New Roman" w:cs="Times New Roman"/>
              </w:rPr>
            </w:pPr>
            <w:r>
              <w:rPr>
                <w:sz w:val="24"/>
              </w:rPr>
              <w:pict>
                <v:group id="_x0000_s1212" o:spid="_x0000_s1212" o:spt="203" style="position:absolute;left:0pt;margin-left:48.1pt;margin-top:1.2pt;height:263.6pt;width:316.25pt;z-index:251656192;mso-width-relative:page;mso-height-relative:page;" coordorigin="5374,162324" coordsize="6325,5272">
                  <o:lock v:ext="edit"/>
                  <v:line id="_x0000_s1068" o:spid="_x0000_s1068" o:spt="20" style="position:absolute;left:9613;top:166462;flip:x;height:1;width:661;" coordsize="21600,21600">
                    <v:path arrowok="t"/>
                    <v:fill focussize="0,0"/>
                    <v:stroke endarrow="open"/>
                    <v:imagedata o:title=""/>
                    <o:lock v:ext="edit"/>
                  </v:line>
                  <v:shape id="文本框 266" o:spid="_x0000_s1075" o:spt="202" type="#_x0000_t202" style="position:absolute;left:7957;top:164022;height:521;width:1821;" coordsize="21600,21600">
                    <v:path/>
                    <v:fill focussize="0,0"/>
                    <v:stroke joinstyle="miter"/>
                    <v:imagedata o:title=""/>
                    <o:lock v:ext="edit"/>
                    <v:textbox>
                      <w:txbxContent>
                        <w:p>
                          <w:pPr>
                            <w:jc w:val="center"/>
                          </w:pPr>
                          <w:r>
                            <w:rPr>
                              <w:rFonts w:hint="eastAsia"/>
                            </w:rPr>
                            <w:t>洗车用水</w:t>
                          </w:r>
                        </w:p>
                      </w:txbxContent>
                    </v:textbox>
                  </v:shape>
                  <v:shape id="文本框 268" o:spid="_x0000_s1076" o:spt="202" type="#_x0000_t202" style="position:absolute;left:7995;top:165275;height:587;width:1292;" coordsize="21600,21600">
                    <v:path/>
                    <v:fill focussize="0,0"/>
                    <v:stroke joinstyle="miter"/>
                    <v:imagedata o:title=""/>
                    <o:lock v:ext="edit"/>
                    <v:textbox>
                      <w:txbxContent>
                        <w:p>
                          <w:pPr>
                            <w:jc w:val="center"/>
                          </w:pPr>
                          <w:r>
                            <w:rPr>
                              <w:rFonts w:hint="eastAsia"/>
                            </w:rPr>
                            <w:t>生活用水</w:t>
                          </w:r>
                        </w:p>
                      </w:txbxContent>
                    </v:textbox>
                  </v:shape>
                  <v:shape id="文本框 270" o:spid="_x0000_s1078" o:spt="202" type="#_x0000_t202" style="position:absolute;left:8020;top:166226;height:463;width:1593;" coordsize="21600,21600">
                    <v:path/>
                    <v:fill focussize="0,0"/>
                    <v:stroke joinstyle="miter"/>
                    <v:imagedata o:title=""/>
                    <o:lock v:ext="edit"/>
                    <v:textbox>
                      <w:txbxContent>
                        <w:p>
                          <w:pPr>
                            <w:jc w:val="center"/>
                          </w:pPr>
                          <w:r>
                            <w:rPr>
                              <w:rFonts w:hint="eastAsia"/>
                            </w:rPr>
                            <w:t>道路洒水</w:t>
                          </w:r>
                        </w:p>
                      </w:txbxContent>
                    </v:textbox>
                  </v:shape>
                  <v:line id="_x0000_s1115" o:spid="_x0000_s1115" o:spt="20" style="position:absolute;left:10251;top:165556;height:900;width:1;" coordsize="21600,21600">
                    <v:path arrowok="t"/>
                    <v:fill focussize="0,0"/>
                    <v:stroke endarrow="open"/>
                    <v:imagedata o:title=""/>
                    <o:lock v:ext="edit"/>
                  </v:line>
                  <v:line id="_x0000_s1108" o:spid="_x0000_s1108" o:spt="20" style="position:absolute;left:9411;top:163682;height:360;width:1;" coordsize="21600,21600">
                    <v:path arrowok="t"/>
                    <v:fill focussize="0,0"/>
                    <v:stroke endarrow="open"/>
                    <v:imagedata o:title=""/>
                    <o:lock v:ext="edit"/>
                  </v:line>
                  <v:line id="_x0000_s1109" o:spid="_x0000_s1109" o:spt="20" style="position:absolute;left:9411;top:163667;height:1;width:1710;" coordsize="21600,21600">
                    <v:path arrowok="t"/>
                    <v:fill focussize="0,0"/>
                    <v:stroke/>
                    <v:imagedata o:title=""/>
                    <o:lock v:ext="edit"/>
                  </v:line>
                  <v:shape id="自选图形 272" o:spid="_x0000_s1080" o:spt="32" type="#_x0000_t32" style="position:absolute;left:7283;top:163055;flip:x;height:4318;width:9;" filled="f" coordsize="21600,21600">
                    <v:path arrowok="t"/>
                    <v:fill on="f" focussize="0,0"/>
                    <v:stroke/>
                    <v:imagedata o:title=""/>
                    <o:lock v:ext="edit"/>
                  </v:shape>
                  <v:line id="_x0000_s1110" o:spid="_x0000_s1110" o:spt="20" style="position:absolute;left:11136;top:163682;flip:y;height:315;width:1;" coordsize="21600,21600">
                    <v:path arrowok="t"/>
                    <v:fill focussize="0,0"/>
                    <v:stroke endarrow="open"/>
                    <v:imagedata o:title=""/>
                    <o:lock v:ext="edit"/>
                  </v:line>
                  <v:shape id="自选图形 273" o:spid="_x0000_s1081" o:spt="32" type="#_x0000_t32" style="position:absolute;left:7303;top:164274;height:18;width:691;" filled="f" coordsize="21600,21600">
                    <v:path arrowok="t"/>
                    <v:fill on="f" focussize="0,0"/>
                    <v:stroke endarrow="block"/>
                    <v:imagedata o:title=""/>
                    <o:lock v:ext="edit"/>
                  </v:shape>
                  <v:shape id="自选图形 275" o:spid="_x0000_s1082" o:spt="32" type="#_x0000_t32" style="position:absolute;left:7289;top:166411;height:2;width:736;" filled="f" coordsize="21600,21600">
                    <v:path arrowok="t"/>
                    <v:fill on="f" focussize="0,0"/>
                    <v:stroke endarrow="block"/>
                    <v:imagedata o:title=""/>
                    <o:lock v:ext="edit"/>
                  </v:shape>
                  <v:shape id="自选图形 276" o:spid="_x0000_s1083" o:spt="32" type="#_x0000_t32" style="position:absolute;left:7276;top:165560;height:0;width:730;" filled="f" coordsize="21600,21600">
                    <v:path arrowok="t"/>
                    <v:fill on="f" focussize="0,0"/>
                    <v:stroke endarrow="block"/>
                    <v:imagedata o:title=""/>
                    <o:lock v:ext="edit"/>
                  </v:shape>
                  <v:shape id="自选图形 278" o:spid="_x0000_s1085" o:spt="32" type="#_x0000_t32" style="position:absolute;left:6611;top:163878;height:0;width:654;" filled="f" coordsize="21600,21600">
                    <v:path arrowok="t"/>
                    <v:fill on="f" focussize="0,0"/>
                    <v:stroke endarrow="block"/>
                    <v:imagedata o:title=""/>
                    <o:lock v:ext="edit"/>
                  </v:shape>
                  <v:shape id="文本框 279" o:spid="_x0000_s1086" o:spt="202" type="#_x0000_t202" style="position:absolute;left:5374;top:163615;height:529;width:1235;" coordsize="21600,21600">
                    <v:path/>
                    <v:fill focussize="0,0"/>
                    <v:stroke joinstyle="miter"/>
                    <v:imagedata o:title=""/>
                    <o:lock v:ext="edit"/>
                    <v:textbox>
                      <w:txbxContent>
                        <w:p>
                          <w:pPr>
                            <w:jc w:val="center"/>
                          </w:pPr>
                          <w:r>
                            <w:rPr>
                              <w:rFonts w:hint="eastAsia"/>
                            </w:rPr>
                            <w:t>新鲜水</w:t>
                          </w:r>
                        </w:p>
                      </w:txbxContent>
                    </v:textbox>
                  </v:shape>
                  <v:shape id="文本框 280" o:spid="_x0000_s1087" o:spt="202" type="#_x0000_t202" style="position:absolute;left:6455;top:163401;height:571;width:994;" filled="f" stroked="f" coordsize="21600,21600">
                    <v:path/>
                    <v:fill on="f" focussize="0,0"/>
                    <v:stroke on="f" joinstyle="miter"/>
                    <v:imagedata o:title=""/>
                    <o:lock v:ext="edit"/>
                    <v:textbox>
                      <w:txbxContent>
                        <w:p/>
                      </w:txbxContent>
                    </v:textbox>
                  </v:shape>
                  <v:shape id="文本框 282" o:spid="_x0000_s1089" o:spt="202" type="#_x0000_t202" style="position:absolute;left:7231;top:163790;height:470;width:785;" filled="f" stroked="f" coordsize="21600,21600">
                    <v:path/>
                    <v:fill on="f" focussize="0,0"/>
                    <v:stroke on="f" joinstyle="miter"/>
                    <v:imagedata o:title=""/>
                    <o:lock v:ext="edit"/>
                    <v:textbox>
                      <w:txbxContent>
                        <w:p>
                          <w:r>
                            <w:rPr>
                              <w:rFonts w:hint="eastAsia"/>
                            </w:rPr>
                            <w:t>0.22</w:t>
                          </w:r>
                        </w:p>
                      </w:txbxContent>
                    </v:textbox>
                  </v:shape>
                  <v:shape id="文本框 284" o:spid="_x0000_s1090" o:spt="202" type="#_x0000_t202" style="position:absolute;left:7252;top:165039;height:533;width:837;" filled="f" stroked="f" coordsize="21600,21600">
                    <v:path/>
                    <v:fill on="f" focussize="0,0"/>
                    <v:stroke on="f" joinstyle="miter"/>
                    <v:imagedata o:title=""/>
                    <o:lock v:ext="edit"/>
                    <v:textbox>
                      <w:txbxContent>
                        <w:p>
                          <w:r>
                            <w:rPr>
                              <w:rFonts w:hint="eastAsia"/>
                            </w:rPr>
                            <w:t>0.3</w:t>
                          </w:r>
                        </w:p>
                      </w:txbxContent>
                    </v:textbox>
                  </v:shape>
                  <v:shape id="自选图形 290" o:spid="_x0000_s1092" o:spt="38" type="#_x0000_t38" style="position:absolute;left:8424;top:163812;flip:y;height:230;width:235;" filled="f" coordsize="21600,21600" adj="10800">
                    <v:path arrowok="t"/>
                    <v:fill on="f" focussize="0,0"/>
                    <v:stroke endarrow="block"/>
                    <v:imagedata o:title=""/>
                    <o:lock v:ext="edit"/>
                  </v:shape>
                  <v:shape id="文本框 297" o:spid="_x0000_s1093" o:spt="202" type="#_x0000_t202" style="position:absolute;left:8067;top:162815;height:560;width:1571;" coordsize="21600,21600">
                    <v:path/>
                    <v:fill focussize="0,0"/>
                    <v:stroke joinstyle="miter"/>
                    <v:imagedata o:title=""/>
                    <o:lock v:ext="edit"/>
                    <v:textbox>
                      <w:txbxContent>
                        <w:p>
                          <w:pPr>
                            <w:jc w:val="center"/>
                          </w:pPr>
                          <w:r>
                            <w:rPr>
                              <w:rFonts w:hint="eastAsia"/>
                              <w:szCs w:val="21"/>
                            </w:rPr>
                            <w:t>抑尘用水</w:t>
                          </w:r>
                        </w:p>
                      </w:txbxContent>
                    </v:textbox>
                  </v:shape>
                  <v:shape id="自选图形 298" o:spid="_x0000_s1094" o:spt="38" type="#_x0000_t38" style="position:absolute;left:8446;top:162597;flip:y;height:230;width:235;" filled="f" coordsize="21600,21600" adj="10800">
                    <v:path arrowok="t"/>
                    <v:fill on="f" focussize="0,0"/>
                    <v:stroke endarrow="block"/>
                    <v:imagedata o:title=""/>
                    <o:lock v:ext="edit"/>
                  </v:shape>
                  <v:shape id="自选图形 299" o:spid="_x0000_s1095" o:spt="32" type="#_x0000_t32" style="position:absolute;left:7310;top:163062;height:0;width:734;" filled="f" coordsize="21600,21600">
                    <v:path arrowok="t"/>
                    <v:fill on="f" focussize="0,0"/>
                    <v:stroke endarrow="block"/>
                    <v:imagedata o:title=""/>
                    <o:lock v:ext="edit"/>
                  </v:shape>
                  <v:shape id="文本框 300" o:spid="_x0000_s1096" o:spt="202" type="#_x0000_t202" style="position:absolute;left:7307;top:162539;height:488;width:707;" filled="f" stroked="f" coordsize="21600,21600">
                    <v:path/>
                    <v:fill on="f" focussize="0,0"/>
                    <v:stroke on="f" joinstyle="miter"/>
                    <v:imagedata o:title=""/>
                    <o:lock v:ext="edit"/>
                    <v:textbox>
                      <w:txbxContent>
                        <w:p>
                          <w:r>
                            <w:rPr>
                              <w:rFonts w:hint="eastAsia"/>
                            </w:rPr>
                            <w:t>1.44</w:t>
                          </w:r>
                        </w:p>
                      </w:txbxContent>
                    </v:textbox>
                  </v:shape>
                  <v:shape id="文本框 305" o:spid="_x0000_s1099" o:spt="202" type="#_x0000_t202" style="position:absolute;left:8726;top:162324;height:488;width:719;" filled="f" stroked="f" coordsize="21600,21600">
                    <v:path/>
                    <v:fill on="f" focussize="0,0"/>
                    <v:stroke on="f" joinstyle="miter"/>
                    <v:imagedata o:title=""/>
                    <o:lock v:ext="edit"/>
                    <v:textbox>
                      <w:txbxContent>
                        <w:p>
                          <w:r>
                            <w:rPr>
                              <w:rFonts w:hint="eastAsia"/>
                            </w:rPr>
                            <w:t>1.44</w:t>
                          </w:r>
                        </w:p>
                      </w:txbxContent>
                    </v:textbox>
                  </v:shape>
                  <v:shape id="文本框 314" o:spid="_x0000_s1103" o:spt="202" type="#_x0000_t202" style="position:absolute;left:8282;top:163340;height:470;width:842;" filled="f" stroked="f" coordsize="21600,21600">
                    <v:path/>
                    <v:fill on="f" focussize="0,0"/>
                    <v:stroke on="f" joinstyle="miter"/>
                    <v:imagedata o:title=""/>
                    <o:lock v:ext="edit"/>
                    <v:textbox>
                      <w:txbxContent>
                        <w:p>
                          <w:r>
                            <w:rPr>
                              <w:rFonts w:hint="eastAsia"/>
                            </w:rPr>
                            <w:t>0.22</w:t>
                          </w:r>
                        </w:p>
                      </w:txbxContent>
                    </v:textbox>
                  </v:shape>
                  <v:shape id="自选图形 318" o:spid="_x0000_s1104" o:spt="32" type="#_x0000_t32" style="position:absolute;left:9298;top:165550;flip:y;height:6;width:973;" filled="f" coordsize="21600,21600">
                    <v:path arrowok="t"/>
                    <v:fill on="f" focussize="0,0"/>
                    <v:stroke endarrow="block"/>
                    <v:imagedata o:title=""/>
                    <o:lock v:ext="edit"/>
                  </v:shape>
                  <v:shape id="自选图形 320" o:spid="_x0000_s1105" o:spt="38" type="#_x0000_t38" style="position:absolute;left:8491;top:165996;flip:y;height:230;width:235;" filled="f" coordsize="21600,21600" adj="10800">
                    <v:path arrowok="t"/>
                    <v:fill on="f" focussize="0,0"/>
                    <v:stroke endarrow="block"/>
                    <v:imagedata o:title=""/>
                    <o:lock v:ext="edit"/>
                  </v:shape>
                  <v:shape id="文本框 306" o:spid="_x0000_s1040" o:spt="202" type="#_x0000_t202" style="position:absolute;left:9455;top:165089;height:488;width:857;" filled="f" stroked="f" coordsize="21600,21600">
                    <v:path/>
                    <v:fill on="f" focussize="0,0"/>
                    <v:stroke on="f" joinstyle="miter"/>
                    <v:imagedata o:title=""/>
                    <o:lock v:ext="edit"/>
                    <v:textbox>
                      <w:txbxContent>
                        <w:p>
                          <w:r>
                            <w:rPr>
                              <w:rFonts w:hint="eastAsia"/>
                            </w:rPr>
                            <w:t>0.24</w:t>
                          </w:r>
                        </w:p>
                      </w:txbxContent>
                    </v:textbox>
                  </v:shape>
                  <v:shape id="_x0000_s1043" o:spid="_x0000_s1043" o:spt="38" type="#_x0000_t38" style="position:absolute;left:8499;top:165027;flip:y;height:230;width:235;" filled="f" coordsize="21600,21600" adj="10800">
                    <v:path arrowok="t"/>
                    <v:fill on="f" focussize="0,0"/>
                    <v:stroke endarrow="block"/>
                    <v:imagedata o:title=""/>
                    <o:lock v:ext="edit"/>
                  </v:shape>
                  <v:shape id="_x0000_s1044" o:spid="_x0000_s1044" o:spt="202" type="#_x0000_t202" style="position:absolute;left:8786;top:164739;height:488;width:818;" filled="f" stroked="f" coordsize="21600,21600">
                    <v:path/>
                    <v:fill on="f" focussize="0,0"/>
                    <v:stroke on="f" joinstyle="miter"/>
                    <v:imagedata o:title=""/>
                    <o:lock v:ext="edit"/>
                    <v:textbox>
                      <w:txbxContent>
                        <w:p>
                          <w:r>
                            <w:rPr>
                              <w:rFonts w:hint="eastAsia"/>
                            </w:rPr>
                            <w:t>0.06</w:t>
                          </w:r>
                        </w:p>
                      </w:txbxContent>
                    </v:textbox>
                  </v:shape>
                  <v:shape id="_x0000_s1052" o:spid="_x0000_s1052" o:spt="202" type="#_x0000_t202" style="position:absolute;left:8666;top:165759;height:488;width:892;" filled="f" stroked="f" coordsize="21600,21600">
                    <v:path/>
                    <v:fill on="f" focussize="0,0"/>
                    <v:stroke on="f" joinstyle="miter"/>
                    <v:imagedata o:title=""/>
                    <o:lock v:ext="edit"/>
                    <v:textbox>
                      <w:txbxContent>
                        <w:p>
                          <w:r>
                            <w:rPr>
                              <w:rFonts w:hint="eastAsia"/>
                            </w:rPr>
                            <w:t>0.312</w:t>
                          </w:r>
                        </w:p>
                      </w:txbxContent>
                    </v:textbox>
                  </v:shape>
                  <v:shape id="_x0000_s1071" o:spid="_x0000_s1071" o:spt="202" type="#_x0000_t202" style="position:absolute;left:6481;top:163370;height:470;width:1040;" filled="f" stroked="f" coordsize="21600,21600">
                    <v:path/>
                    <v:fill on="f" focussize="0,0"/>
                    <v:stroke on="f" joinstyle="miter"/>
                    <v:imagedata o:title=""/>
                    <o:lock v:ext="edit"/>
                    <v:textbox>
                      <w:txbxContent>
                        <w:p/>
                      </w:txbxContent>
                    </v:textbox>
                  </v:shape>
                  <v:shape id="_x0000_s1107" o:spid="_x0000_s1107" o:spt="202" type="#_x0000_t202" style="position:absolute;left:10507;top:164007;height:521;width:1193;" coordsize="21600,21600">
                    <v:path/>
                    <v:fill focussize="0,0"/>
                    <v:stroke joinstyle="miter"/>
                    <v:imagedata o:title=""/>
                    <o:lock v:ext="edit"/>
                    <v:textbox>
                      <w:txbxContent>
                        <w:p>
                          <w:pPr>
                            <w:jc w:val="center"/>
                          </w:pPr>
                          <w:r>
                            <w:rPr>
                              <w:rFonts w:hint="eastAsia"/>
                            </w:rPr>
                            <w:t>沉淀池</w:t>
                          </w:r>
                        </w:p>
                      </w:txbxContent>
                    </v:textbox>
                  </v:shape>
                  <v:shape id="_x0000_s1106" o:spid="_x0000_s1106" o:spt="32" type="#_x0000_t32" style="position:absolute;left:9778;top:164267;flip:y;height:14;width:713;" filled="f" coordsize="21600,21600">
                    <v:path arrowok="t"/>
                    <v:fill on="f" focussize="0,0"/>
                    <v:stroke endarrow="block"/>
                    <v:imagedata o:title=""/>
                    <o:lock v:ext="edit"/>
                  </v:shape>
                  <v:shape id="_x0000_s1113" o:spid="_x0000_s1113" o:spt="202" type="#_x0000_t202" style="position:absolute;left:9916;top:163160;height:470;width:785;" filled="f" stroked="f" coordsize="21600,21600">
                    <v:path/>
                    <v:fill on="f" focussize="0,0"/>
                    <v:stroke on="f" joinstyle="miter"/>
                    <v:imagedata o:title=""/>
                    <o:lock v:ext="edit"/>
                    <v:textbox>
                      <w:txbxContent>
                        <w:p>
                          <w:r>
                            <w:rPr>
                              <w:rFonts w:hint="eastAsia"/>
                            </w:rPr>
                            <w:t>0.198</w:t>
                          </w:r>
                        </w:p>
                      </w:txbxContent>
                    </v:textbox>
                  </v:shape>
                  <v:shape id="_x0000_s1114" o:spid="_x0000_s1114" o:spt="202" type="#_x0000_t202" style="position:absolute;left:9736;top:163925;height:470;width:785;" filled="f" stroked="f" coordsize="21600,21600">
                    <v:path/>
                    <v:fill on="f" focussize="0,0"/>
                    <v:stroke on="f" joinstyle="miter"/>
                    <v:imagedata o:title=""/>
                    <o:lock v:ext="edit"/>
                    <v:textbox>
                      <w:txbxContent>
                        <w:p>
                          <w:r>
                            <w:rPr>
                              <w:rFonts w:hint="eastAsia"/>
                            </w:rPr>
                            <w:t>0.198</w:t>
                          </w:r>
                        </w:p>
                      </w:txbxContent>
                    </v:textbox>
                  </v:shape>
                  <v:shape id="_x0000_s1030" o:spid="_x0000_s1030" o:spt="32" type="#_x0000_t32" style="position:absolute;left:7283;top:167360;height:2;width:736;" filled="f" coordsize="21600,21600">
                    <v:path arrowok="t"/>
                    <v:fill on="f" focussize="0,0"/>
                    <v:stroke endarrow="block"/>
                    <v:imagedata o:title=""/>
                    <o:lock v:ext="edit"/>
                  </v:shape>
                  <v:shape id="_x0000_s1031" o:spid="_x0000_s1031" o:spt="202" type="#_x0000_t202" style="position:absolute;left:8015;top:167134;height:463;width:1593;" coordsize="21600,21600">
                    <v:path/>
                    <v:fill focussize="0,0"/>
                    <v:stroke joinstyle="miter"/>
                    <v:imagedata o:title=""/>
                    <o:lock v:ext="edit"/>
                    <v:textbox>
                      <w:txbxContent>
                        <w:p>
                          <w:pPr>
                            <w:jc w:val="center"/>
                          </w:pPr>
                          <w:r>
                            <w:rPr>
                              <w:rFonts w:hint="eastAsia"/>
                            </w:rPr>
                            <w:t>绿化用水</w:t>
                          </w:r>
                        </w:p>
                      </w:txbxContent>
                    </v:textbox>
                  </v:shape>
                  <v:shape id="_x0000_s1032" o:spid="_x0000_s1032" o:spt="38" type="#_x0000_t38" style="position:absolute;left:8445;top:166864;flip:y;height:230;width:235;" filled="f" coordsize="21600,21600" adj="10800">
                    <v:path arrowok="t"/>
                    <v:fill on="f" focussize="0,0"/>
                    <v:stroke endarrow="block"/>
                    <v:imagedata o:title=""/>
                    <o:lock v:ext="edit"/>
                  </v:shape>
                  <v:shape id="_x0000_s1033" o:spid="_x0000_s1033" o:spt="202" type="#_x0000_t202" style="position:absolute;left:8688;top:166640;height:488;width:892;" filled="f" stroked="f" coordsize="21600,21600">
                    <v:path/>
                    <v:fill on="f" focussize="0,0"/>
                    <v:stroke on="f" joinstyle="miter"/>
                    <v:imagedata o:title=""/>
                    <o:lock v:ext="edit"/>
                    <v:textbox>
                      <w:txbxContent>
                        <w:p>
                          <w:r>
                            <w:rPr>
                              <w:rFonts w:hint="eastAsia"/>
                            </w:rPr>
                            <w:t>6.0</w:t>
                          </w:r>
                        </w:p>
                      </w:txbxContent>
                    </v:textbox>
                  </v:shape>
                  <v:shape id="_x0000_s1034" o:spid="_x0000_s1034" o:spt="202" type="#_x0000_t202" style="position:absolute;left:7247;top:166847;height:533;width:837;" filled="f" stroked="f" coordsize="21600,21600">
                    <v:path/>
                    <v:fill on="f" focussize="0,0"/>
                    <v:stroke on="f" joinstyle="miter"/>
                    <v:imagedata o:title=""/>
                    <o:lock v:ext="edit"/>
                    <v:textbox>
                      <w:txbxContent>
                        <w:p>
                          <w:r>
                            <w:rPr>
                              <w:rFonts w:hint="eastAsia"/>
                            </w:rPr>
                            <w:t>6.0</w:t>
                          </w:r>
                        </w:p>
                      </w:txbxContent>
                    </v:textbox>
                  </v:shape>
                  <v:shape id="_x0000_s1211" o:spid="_x0000_s1211" o:spt="202" type="#_x0000_t202" style="position:absolute;left:7291;top:165945;height:533;width:837;" filled="f" stroked="f" coordsize="21600,21600">
                    <v:path/>
                    <v:fill on="f" focussize="0,0"/>
                    <v:stroke on="f" joinstyle="miter"/>
                    <v:imagedata o:title=""/>
                    <o:lock v:ext="edit"/>
                    <v:textbox>
                      <w:txbxContent>
                        <w:p>
                          <w:r>
                            <w:rPr>
                              <w:rFonts w:hint="eastAsia"/>
                            </w:rPr>
                            <w:t>0.088</w:t>
                          </w:r>
                        </w:p>
                      </w:txbxContent>
                    </v:textbox>
                  </v:shape>
                </v:group>
              </w:pict>
            </w: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pStyle w:val="2"/>
              <w:rPr>
                <w:rFonts w:ascii="Times New Roman" w:cs="Times New Roman" w:eastAsiaTheme="minorEastAsia"/>
              </w:rPr>
            </w:pPr>
          </w:p>
          <w:p>
            <w:pPr>
              <w:spacing w:line="500" w:lineRule="exact"/>
              <w:jc w:val="center"/>
              <w:rPr>
                <w:rFonts w:ascii="Times New Roman" w:hAnsi="Times New Roman" w:cs="Times New Roman"/>
                <w:b/>
                <w:color w:val="000000" w:themeColor="text1"/>
                <w:sz w:val="24"/>
                <w:szCs w:val="24"/>
              </w:rPr>
            </w:pPr>
          </w:p>
          <w:p>
            <w:pPr>
              <w:spacing w:line="500" w:lineRule="exact"/>
              <w:jc w:val="center"/>
              <w:rPr>
                <w:rFonts w:ascii="Times New Roman" w:hAnsi="Times New Roman" w:cs="Times New Roman"/>
                <w:b/>
                <w:color w:val="000000" w:themeColor="text1"/>
                <w:sz w:val="24"/>
                <w:szCs w:val="24"/>
              </w:rPr>
            </w:pPr>
          </w:p>
          <w:p>
            <w:pPr>
              <w:spacing w:line="500" w:lineRule="exact"/>
              <w:jc w:val="center"/>
              <w:rPr>
                <w:rFonts w:ascii="Times New Roman" w:hAnsi="Times New Roman" w:cs="Times New Roman"/>
                <w:sz w:val="24"/>
                <w:szCs w:val="24"/>
              </w:rPr>
            </w:pPr>
            <w:r>
              <w:rPr>
                <w:rFonts w:ascii="Times New Roman" w:hAnsi="Times New Roman" w:cs="Times New Roman"/>
                <w:b/>
                <w:color w:val="000000" w:themeColor="text1"/>
                <w:sz w:val="24"/>
                <w:szCs w:val="24"/>
              </w:rPr>
              <w:t>图1-</w:t>
            </w:r>
            <w:r>
              <w:rPr>
                <w:rFonts w:hint="eastAsia"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项目水平衡分析（m</w:t>
            </w:r>
            <w:r>
              <w:rPr>
                <w:rFonts w:ascii="Times New Roman" w:hAnsi="Times New Roman" w:cs="Times New Roman"/>
                <w:b/>
                <w:color w:val="000000" w:themeColor="text1"/>
                <w:sz w:val="24"/>
                <w:szCs w:val="24"/>
                <w:vertAlign w:val="superscript"/>
              </w:rPr>
              <w:t>3</w:t>
            </w:r>
            <w:r>
              <w:rPr>
                <w:rFonts w:ascii="Times New Roman" w:hAnsi="Times New Roman" w:cs="Times New Roman"/>
                <w:b/>
                <w:color w:val="000000" w:themeColor="text1"/>
                <w:sz w:val="24"/>
                <w:szCs w:val="24"/>
              </w:rPr>
              <w:t>/d）</w:t>
            </w:r>
            <w:r>
              <w:rPr>
                <w:rFonts w:hint="eastAsia" w:ascii="Times New Roman" w:hAnsi="Times New Roman" w:cs="Times New Roman"/>
                <w:b/>
                <w:color w:val="000000" w:themeColor="text1"/>
                <w:sz w:val="24"/>
                <w:szCs w:val="24"/>
              </w:rPr>
              <w:t>（非采暖季）</w:t>
            </w: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r>
              <w:rPr>
                <w:sz w:val="24"/>
              </w:rPr>
              <w:pict>
                <v:group id="_x0000_s1139" o:spid="_x0000_s1139" o:spt="203" style="position:absolute;left:0pt;margin-left:78.1pt;margin-top:11.55pt;height:202.65pt;width:304.75pt;z-index:251657216;mso-width-relative:page;mso-height-relative:page;" coordorigin="6170,172971" coordsize="6325,4364">
                  <o:lock v:ext="edit"/>
                  <v:line id="_x0000_s1050" o:spid="_x0000_s1050" o:spt="20" style="position:absolute;left:10409;top:177109;flip:x;height:1;width:661;" coordsize="21600,21600">
                    <v:path arrowok="t"/>
                    <v:fill focussize="0,0"/>
                    <v:stroke endarrow="open"/>
                    <v:imagedata o:title=""/>
                    <o:lock v:ext="edit"/>
                  </v:line>
                  <v:shape id="文本框 266" o:spid="_x0000_s1051" o:spt="202" type="#_x0000_t202" style="position:absolute;left:8753;top:174669;height:521;width:1821;" coordsize="21600,21600">
                    <v:path/>
                    <v:fill focussize="0,0"/>
                    <v:stroke joinstyle="miter"/>
                    <v:imagedata o:title=""/>
                    <o:lock v:ext="edit"/>
                    <v:textbox>
                      <w:txbxContent>
                        <w:p>
                          <w:pPr>
                            <w:jc w:val="center"/>
                          </w:pPr>
                          <w:r>
                            <w:rPr>
                              <w:rFonts w:hint="eastAsia"/>
                            </w:rPr>
                            <w:t>洗车用水</w:t>
                          </w:r>
                        </w:p>
                      </w:txbxContent>
                    </v:textbox>
                  </v:shape>
                  <v:shape id="文本框 268" o:spid="_x0000_s1053" o:spt="202" type="#_x0000_t202" style="position:absolute;left:8791;top:175922;height:587;width:1292;" coordsize="21600,21600">
                    <v:path/>
                    <v:fill focussize="0,0"/>
                    <v:stroke joinstyle="miter"/>
                    <v:imagedata o:title=""/>
                    <o:lock v:ext="edit"/>
                    <v:textbox>
                      <w:txbxContent>
                        <w:p>
                          <w:pPr>
                            <w:jc w:val="center"/>
                          </w:pPr>
                          <w:r>
                            <w:rPr>
                              <w:rFonts w:hint="eastAsia"/>
                            </w:rPr>
                            <w:t>生活用水</w:t>
                          </w:r>
                        </w:p>
                      </w:txbxContent>
                    </v:textbox>
                  </v:shape>
                  <v:shape id="文本框 270" o:spid="_x0000_s1054" o:spt="202" type="#_x0000_t202" style="position:absolute;left:8816;top:176873;height:463;width:1593;" coordsize="21600,21600">
                    <v:path/>
                    <v:fill focussize="0,0"/>
                    <v:stroke joinstyle="miter"/>
                    <v:imagedata o:title=""/>
                    <o:lock v:ext="edit"/>
                    <v:textbox>
                      <w:txbxContent>
                        <w:p>
                          <w:pPr>
                            <w:jc w:val="center"/>
                          </w:pPr>
                          <w:r>
                            <w:rPr>
                              <w:rFonts w:hint="eastAsia"/>
                            </w:rPr>
                            <w:t>道路洒水</w:t>
                          </w:r>
                        </w:p>
                      </w:txbxContent>
                    </v:textbox>
                  </v:shape>
                  <v:line id="_x0000_s1055" o:spid="_x0000_s1055" o:spt="20" style="position:absolute;left:11047;top:176203;height:900;width:1;" coordsize="21600,21600">
                    <v:path arrowok="t"/>
                    <v:fill focussize="0,0"/>
                    <v:stroke endarrow="open"/>
                    <v:imagedata o:title=""/>
                    <o:lock v:ext="edit"/>
                  </v:line>
                  <v:line id="_x0000_s1056" o:spid="_x0000_s1056" o:spt="20" style="position:absolute;left:10207;top:174329;height:360;width:1;" coordsize="21600,21600">
                    <v:path arrowok="t"/>
                    <v:fill focussize="0,0"/>
                    <v:stroke endarrow="open"/>
                    <v:imagedata o:title=""/>
                    <o:lock v:ext="edit"/>
                  </v:line>
                  <v:line id="_x0000_s1057" o:spid="_x0000_s1057" o:spt="20" style="position:absolute;left:10207;top:174314;height:1;width:1710;" coordsize="21600,21600">
                    <v:path arrowok="t"/>
                    <v:fill focussize="0,0"/>
                    <v:stroke/>
                    <v:imagedata o:title=""/>
                    <o:lock v:ext="edit"/>
                  </v:line>
                  <v:shape id="自选图形 272" o:spid="_x0000_s1058" o:spt="32" type="#_x0000_t32" style="position:absolute;left:8076;top:173702;flip:x;height:3359;width:12;" filled="f" coordsize="21600,21600">
                    <v:path arrowok="t"/>
                    <v:fill on="f" focussize="0,0"/>
                    <v:stroke/>
                    <v:imagedata o:title=""/>
                    <o:lock v:ext="edit"/>
                  </v:shape>
                  <v:line id="_x0000_s1059" o:spid="_x0000_s1059" o:spt="20" style="position:absolute;left:11932;top:174329;flip:y;height:315;width:1;" coordsize="21600,21600">
                    <v:path arrowok="t"/>
                    <v:fill focussize="0,0"/>
                    <v:stroke endarrow="open"/>
                    <v:imagedata o:title=""/>
                    <o:lock v:ext="edit"/>
                  </v:line>
                  <v:shape id="自选图形 273" o:spid="_x0000_s1060" o:spt="32" type="#_x0000_t32" style="position:absolute;left:8099;top:174921;height:18;width:691;" filled="f" coordsize="21600,21600">
                    <v:path arrowok="t"/>
                    <v:fill on="f" focussize="0,0"/>
                    <v:stroke endarrow="block"/>
                    <v:imagedata o:title=""/>
                    <o:lock v:ext="edit"/>
                  </v:shape>
                  <v:shape id="自选图形 275" o:spid="_x0000_s1061" o:spt="32" type="#_x0000_t32" style="position:absolute;left:8085;top:177058;height:2;width:736;" filled="f" coordsize="21600,21600">
                    <v:path arrowok="t"/>
                    <v:fill on="f" focussize="0,0"/>
                    <v:stroke endarrow="block"/>
                    <v:imagedata o:title=""/>
                    <o:lock v:ext="edit"/>
                  </v:shape>
                  <v:shape id="自选图形 276" o:spid="_x0000_s1062" o:spt="32" type="#_x0000_t32" style="position:absolute;left:8072;top:176207;height:0;width:730;" filled="f" coordsize="21600,21600">
                    <v:path arrowok="t"/>
                    <v:fill on="f" focussize="0,0"/>
                    <v:stroke endarrow="block"/>
                    <v:imagedata o:title=""/>
                    <o:lock v:ext="edit"/>
                  </v:shape>
                  <v:shape id="自选图形 278" o:spid="_x0000_s1063" o:spt="32" type="#_x0000_t32" style="position:absolute;left:7407;top:174525;height:0;width:654;" filled="f" coordsize="21600,21600">
                    <v:path arrowok="t"/>
                    <v:fill on="f" focussize="0,0"/>
                    <v:stroke endarrow="block"/>
                    <v:imagedata o:title=""/>
                    <o:lock v:ext="edit"/>
                  </v:shape>
                  <v:shape id="文本框 279" o:spid="_x0000_s1064" o:spt="202" type="#_x0000_t202" style="position:absolute;left:6170;top:174262;height:529;width:1235;" coordsize="21600,21600">
                    <v:path/>
                    <v:fill focussize="0,0"/>
                    <v:stroke joinstyle="miter"/>
                    <v:imagedata o:title=""/>
                    <o:lock v:ext="edit"/>
                    <v:textbox>
                      <w:txbxContent>
                        <w:p>
                          <w:pPr>
                            <w:jc w:val="center"/>
                          </w:pPr>
                          <w:r>
                            <w:rPr>
                              <w:rFonts w:hint="eastAsia"/>
                            </w:rPr>
                            <w:t>新鲜水</w:t>
                          </w:r>
                        </w:p>
                      </w:txbxContent>
                    </v:textbox>
                  </v:shape>
                  <v:shape id="文本框 280" o:spid="_x0000_s1066" o:spt="202" type="#_x0000_t202" style="position:absolute;left:7251;top:174048;height:571;width:994;" filled="f" stroked="f" coordsize="21600,21600">
                    <v:path/>
                    <v:fill on="f" focussize="0,0"/>
                    <v:stroke on="f" joinstyle="miter"/>
                    <v:imagedata o:title=""/>
                    <o:lock v:ext="edit"/>
                    <v:textbox>
                      <w:txbxContent>
                        <w:p/>
                      </w:txbxContent>
                    </v:textbox>
                  </v:shape>
                  <v:shape id="文本框 282" o:spid="_x0000_s1067" o:spt="202" type="#_x0000_t202" style="position:absolute;left:8027;top:174437;height:470;width:785;" filled="f" stroked="f" coordsize="21600,21600">
                    <v:path/>
                    <v:fill on="f" focussize="0,0"/>
                    <v:stroke on="f" joinstyle="miter"/>
                    <v:imagedata o:title=""/>
                    <o:lock v:ext="edit"/>
                    <v:textbox>
                      <w:txbxContent>
                        <w:p>
                          <w:r>
                            <w:rPr>
                              <w:rFonts w:hint="eastAsia"/>
                            </w:rPr>
                            <w:t>0.22</w:t>
                          </w:r>
                        </w:p>
                      </w:txbxContent>
                    </v:textbox>
                  </v:shape>
                  <v:shape id="文本框 284" o:spid="_x0000_s1069" o:spt="202" type="#_x0000_t202" style="position:absolute;left:8048;top:175686;height:533;width:837;" filled="f" stroked="f" coordsize="21600,21600">
                    <v:path/>
                    <v:fill on="f" focussize="0,0"/>
                    <v:stroke on="f" joinstyle="miter"/>
                    <v:imagedata o:title=""/>
                    <o:lock v:ext="edit"/>
                    <v:textbox>
                      <w:txbxContent>
                        <w:p>
                          <w:r>
                            <w:rPr>
                              <w:rFonts w:hint="eastAsia"/>
                            </w:rPr>
                            <w:t>0.3</w:t>
                          </w:r>
                        </w:p>
                      </w:txbxContent>
                    </v:textbox>
                  </v:shape>
                  <v:shape id="自选图形 290" o:spid="_x0000_s1070" o:spt="38" type="#_x0000_t38" style="position:absolute;left:9220;top:174459;flip:y;height:230;width:235;" filled="f" coordsize="21600,21600" adj="10800">
                    <v:path arrowok="t"/>
                    <v:fill on="f" focussize="0,0"/>
                    <v:stroke endarrow="block"/>
                    <v:imagedata o:title=""/>
                    <o:lock v:ext="edit"/>
                  </v:shape>
                  <v:shape id="文本框 297" o:spid="_x0000_s1073" o:spt="202" type="#_x0000_t202" style="position:absolute;left:8863;top:173462;height:560;width:1571;" coordsize="21600,21600">
                    <v:path/>
                    <v:fill focussize="0,0"/>
                    <v:stroke joinstyle="miter"/>
                    <v:imagedata o:title=""/>
                    <o:lock v:ext="edit"/>
                    <v:textbox>
                      <w:txbxContent>
                        <w:p>
                          <w:pPr>
                            <w:jc w:val="center"/>
                          </w:pPr>
                          <w:r>
                            <w:rPr>
                              <w:rFonts w:hint="eastAsia"/>
                              <w:szCs w:val="21"/>
                            </w:rPr>
                            <w:t>抑尘用水</w:t>
                          </w:r>
                        </w:p>
                      </w:txbxContent>
                    </v:textbox>
                  </v:shape>
                  <v:shape id="自选图形 298" o:spid="_x0000_s1077" o:spt="38" type="#_x0000_t38" style="position:absolute;left:9242;top:173244;flip:y;height:230;width:235;" filled="f" coordsize="21600,21600" adj="10800">
                    <v:path arrowok="t"/>
                    <v:fill on="f" focussize="0,0"/>
                    <v:stroke endarrow="block"/>
                    <v:imagedata o:title=""/>
                    <o:lock v:ext="edit"/>
                  </v:shape>
                  <v:shape id="自选图形 299" o:spid="_x0000_s1084" o:spt="32" type="#_x0000_t32" style="position:absolute;left:8106;top:173709;height:0;width:734;" filled="f" coordsize="21600,21600">
                    <v:path arrowok="t"/>
                    <v:fill on="f" focussize="0,0"/>
                    <v:stroke endarrow="block"/>
                    <v:imagedata o:title=""/>
                    <o:lock v:ext="edit"/>
                  </v:shape>
                  <v:shape id="文本框 300" o:spid="_x0000_s1091" o:spt="202" type="#_x0000_t202" style="position:absolute;left:8103;top:173186;height:488;width:707;" filled="f" stroked="f" coordsize="21600,21600">
                    <v:path/>
                    <v:fill on="f" focussize="0,0"/>
                    <v:stroke on="f" joinstyle="miter"/>
                    <v:imagedata o:title=""/>
                    <o:lock v:ext="edit"/>
                    <v:textbox>
                      <w:txbxContent>
                        <w:p>
                          <w:r>
                            <w:rPr>
                              <w:rFonts w:hint="eastAsia"/>
                            </w:rPr>
                            <w:t>1.44</w:t>
                          </w:r>
                        </w:p>
                      </w:txbxContent>
                    </v:textbox>
                  </v:shape>
                  <v:shape id="文本框 305" o:spid="_x0000_s1097" o:spt="202" type="#_x0000_t202" style="position:absolute;left:9522;top:172971;height:488;width:719;" filled="f" stroked="f" coordsize="21600,21600">
                    <v:path/>
                    <v:fill on="f" focussize="0,0"/>
                    <v:stroke on="f" joinstyle="miter"/>
                    <v:imagedata o:title=""/>
                    <o:lock v:ext="edit"/>
                    <v:textbox>
                      <w:txbxContent>
                        <w:p>
                          <w:r>
                            <w:rPr>
                              <w:rFonts w:hint="eastAsia"/>
                            </w:rPr>
                            <w:t>1.44</w:t>
                          </w:r>
                        </w:p>
                      </w:txbxContent>
                    </v:textbox>
                  </v:shape>
                  <v:shape id="文本框 314" o:spid="_x0000_s1098" o:spt="202" type="#_x0000_t202" style="position:absolute;left:9078;top:173987;height:470;width:842;" filled="f" stroked="f" coordsize="21600,21600">
                    <v:path/>
                    <v:fill on="f" focussize="0,0"/>
                    <v:stroke on="f" joinstyle="miter"/>
                    <v:imagedata o:title=""/>
                    <o:lock v:ext="edit"/>
                    <v:textbox>
                      <w:txbxContent>
                        <w:p>
                          <w:r>
                            <w:rPr>
                              <w:rFonts w:hint="eastAsia"/>
                            </w:rPr>
                            <w:t>0.22</w:t>
                          </w:r>
                        </w:p>
                      </w:txbxContent>
                    </v:textbox>
                  </v:shape>
                  <v:shape id="自选图形 318" o:spid="_x0000_s1100" o:spt="32" type="#_x0000_t32" style="position:absolute;left:10094;top:176197;flip:y;height:6;width:973;" filled="f" coordsize="21600,21600">
                    <v:path arrowok="t"/>
                    <v:fill on="f" focussize="0,0"/>
                    <v:stroke endarrow="block"/>
                    <v:imagedata o:title=""/>
                    <o:lock v:ext="edit"/>
                  </v:shape>
                  <v:shape id="自选图形 320" o:spid="_x0000_s1101" o:spt="38" type="#_x0000_t38" style="position:absolute;left:9287;top:176643;flip:y;height:230;width:235;" filled="f" coordsize="21600,21600" adj="10800">
                    <v:path arrowok="t"/>
                    <v:fill on="f" focussize="0,0"/>
                    <v:stroke endarrow="block"/>
                    <v:imagedata o:title=""/>
                    <o:lock v:ext="edit"/>
                  </v:shape>
                  <v:shape id="文本框 306" o:spid="_x0000_s1102" o:spt="202" type="#_x0000_t202" style="position:absolute;left:10251;top:175736;height:488;width:857;" filled="f" stroked="f" coordsize="21600,21600">
                    <v:path/>
                    <v:fill on="f" focussize="0,0"/>
                    <v:stroke on="f" joinstyle="miter"/>
                    <v:imagedata o:title=""/>
                    <o:lock v:ext="edit"/>
                    <v:textbox>
                      <w:txbxContent>
                        <w:p>
                          <w:r>
                            <w:rPr>
                              <w:rFonts w:hint="eastAsia"/>
                            </w:rPr>
                            <w:t>0.24</w:t>
                          </w:r>
                        </w:p>
                      </w:txbxContent>
                    </v:textbox>
                  </v:shape>
                  <v:shape id="_x0000_s1116" o:spid="_x0000_s1116" o:spt="38" type="#_x0000_t38" style="position:absolute;left:9295;top:175674;flip:y;height:230;width:235;" filled="f" coordsize="21600,21600" adj="10800">
                    <v:path arrowok="t"/>
                    <v:fill on="f" focussize="0,0"/>
                    <v:stroke endarrow="block"/>
                    <v:imagedata o:title=""/>
                    <o:lock v:ext="edit"/>
                  </v:shape>
                  <v:shape id="_x0000_s1120" o:spid="_x0000_s1120" o:spt="202" type="#_x0000_t202" style="position:absolute;left:9582;top:175386;height:488;width:818;" filled="f" stroked="f" coordsize="21600,21600">
                    <v:path/>
                    <v:fill on="f" focussize="0,0"/>
                    <v:stroke on="f" joinstyle="miter"/>
                    <v:imagedata o:title=""/>
                    <o:lock v:ext="edit"/>
                    <v:textbox>
                      <w:txbxContent>
                        <w:p>
                          <w:r>
                            <w:rPr>
                              <w:rFonts w:hint="eastAsia"/>
                            </w:rPr>
                            <w:t>0.06</w:t>
                          </w:r>
                        </w:p>
                      </w:txbxContent>
                    </v:textbox>
                  </v:shape>
                  <v:shape id="_x0000_s1127" o:spid="_x0000_s1127" o:spt="202" type="#_x0000_t202" style="position:absolute;left:9462;top:176406;height:488;width:892;" filled="f" stroked="f" coordsize="21600,21600">
                    <v:path/>
                    <v:fill on="f" focussize="0,0"/>
                    <v:stroke on="f" joinstyle="miter"/>
                    <v:imagedata o:title=""/>
                    <o:lock v:ext="edit"/>
                    <v:textbox>
                      <w:txbxContent>
                        <w:p>
                          <w:r>
                            <w:rPr>
                              <w:rFonts w:hint="eastAsia"/>
                            </w:rPr>
                            <w:t>0.312</w:t>
                          </w:r>
                        </w:p>
                      </w:txbxContent>
                    </v:textbox>
                  </v:shape>
                  <v:shape id="_x0000_s1128" o:spid="_x0000_s1128" o:spt="202" type="#_x0000_t202" style="position:absolute;left:7277;top:174017;height:470;width:1040;" filled="f" stroked="f" coordsize="21600,21600">
                    <v:path/>
                    <v:fill on="f" focussize="0,0"/>
                    <v:stroke on="f" joinstyle="miter"/>
                    <v:imagedata o:title=""/>
                    <o:lock v:ext="edit"/>
                    <v:textbox>
                      <w:txbxContent>
                        <w:p/>
                      </w:txbxContent>
                    </v:textbox>
                  </v:shape>
                  <v:shape id="_x0000_s1129" o:spid="_x0000_s1129" o:spt="202" type="#_x0000_t202" style="position:absolute;left:11303;top:174654;height:521;width:1193;" coordsize="21600,21600">
                    <v:path/>
                    <v:fill focussize="0,0"/>
                    <v:stroke joinstyle="miter"/>
                    <v:imagedata o:title=""/>
                    <o:lock v:ext="edit"/>
                    <v:textbox>
                      <w:txbxContent>
                        <w:p>
                          <w:pPr>
                            <w:jc w:val="center"/>
                          </w:pPr>
                          <w:r>
                            <w:rPr>
                              <w:rFonts w:hint="eastAsia"/>
                            </w:rPr>
                            <w:t>沉淀池</w:t>
                          </w:r>
                        </w:p>
                      </w:txbxContent>
                    </v:textbox>
                  </v:shape>
                  <v:shape id="_x0000_s1130" o:spid="_x0000_s1130" o:spt="32" type="#_x0000_t32" style="position:absolute;left:10574;top:174914;flip:y;height:14;width:713;" filled="f" coordsize="21600,21600">
                    <v:path arrowok="t"/>
                    <v:fill on="f" focussize="0,0"/>
                    <v:stroke endarrow="block"/>
                    <v:imagedata o:title=""/>
                    <o:lock v:ext="edit"/>
                  </v:shape>
                  <v:shape id="_x0000_s1131" o:spid="_x0000_s1131" o:spt="202" type="#_x0000_t202" style="position:absolute;left:10712;top:173807;height:470;width:785;" filled="f" stroked="f" coordsize="21600,21600">
                    <v:path/>
                    <v:fill on="f" focussize="0,0"/>
                    <v:stroke on="f" joinstyle="miter"/>
                    <v:imagedata o:title=""/>
                    <o:lock v:ext="edit"/>
                    <v:textbox>
                      <w:txbxContent>
                        <w:p>
                          <w:r>
                            <w:rPr>
                              <w:rFonts w:hint="eastAsia"/>
                            </w:rPr>
                            <w:t>0.198</w:t>
                          </w:r>
                        </w:p>
                      </w:txbxContent>
                    </v:textbox>
                  </v:shape>
                  <v:shape id="_x0000_s1132" o:spid="_x0000_s1132" o:spt="202" type="#_x0000_t202" style="position:absolute;left:10532;top:174572;height:470;width:785;" filled="f" stroked="f" coordsize="21600,21600">
                    <v:path/>
                    <v:fill on="f" focussize="0,0"/>
                    <v:stroke on="f" joinstyle="miter"/>
                    <v:imagedata o:title=""/>
                    <o:lock v:ext="edit"/>
                    <v:textbox>
                      <w:txbxContent>
                        <w:p>
                          <w:r>
                            <w:rPr>
                              <w:rFonts w:hint="eastAsia"/>
                            </w:rPr>
                            <w:t>0.198</w:t>
                          </w:r>
                        </w:p>
                      </w:txbxContent>
                    </v:textbox>
                  </v:shape>
                  <v:shape id="_x0000_s1138" o:spid="_x0000_s1138" o:spt="202" type="#_x0000_t202" style="position:absolute;left:8087;top:176592;height:533;width:837;" filled="f" stroked="f" coordsize="21600,21600">
                    <v:path/>
                    <v:fill on="f" focussize="0,0"/>
                    <v:stroke on="f" joinstyle="miter"/>
                    <v:imagedata o:title=""/>
                    <o:lock v:ext="edit"/>
                    <v:textbox>
                      <w:txbxContent>
                        <w:p>
                          <w:r>
                            <w:rPr>
                              <w:rFonts w:hint="eastAsia"/>
                            </w:rPr>
                            <w:t>0.088</w:t>
                          </w:r>
                        </w:p>
                      </w:txbxContent>
                    </v:textbox>
                  </v:shape>
                </v:group>
              </w:pict>
            </w: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jc w:val="center"/>
              <w:rPr>
                <w:rFonts w:ascii="Times New Roman" w:hAnsi="Times New Roman" w:cs="Times New Roman"/>
                <w:b/>
                <w:color w:val="000000" w:themeColor="text1"/>
                <w:sz w:val="24"/>
                <w:szCs w:val="24"/>
              </w:rPr>
            </w:pPr>
          </w:p>
          <w:p>
            <w:pPr>
              <w:spacing w:line="500" w:lineRule="exact"/>
              <w:jc w:val="center"/>
              <w:rPr>
                <w:rFonts w:ascii="Times New Roman" w:hAnsi="Times New Roman" w:cs="Times New Roman"/>
                <w:b/>
                <w:color w:val="000000" w:themeColor="text1"/>
                <w:sz w:val="24"/>
                <w:szCs w:val="24"/>
              </w:rPr>
            </w:pPr>
          </w:p>
          <w:p>
            <w:pPr>
              <w:spacing w:line="500" w:lineRule="exact"/>
              <w:jc w:val="center"/>
              <w:rPr>
                <w:rFonts w:ascii="Times New Roman" w:hAnsi="Times New Roman" w:cs="Times New Roman"/>
                <w:b/>
                <w:color w:val="000000" w:themeColor="text1"/>
                <w:sz w:val="24"/>
                <w:szCs w:val="24"/>
              </w:rPr>
            </w:pPr>
          </w:p>
          <w:p>
            <w:pPr>
              <w:spacing w:line="500" w:lineRule="exact"/>
              <w:jc w:val="center"/>
              <w:rPr>
                <w:rFonts w:ascii="Times New Roman" w:hAnsi="Times New Roman" w:cs="Times New Roman"/>
                <w:sz w:val="24"/>
                <w:szCs w:val="24"/>
              </w:rPr>
            </w:pPr>
            <w:r>
              <w:rPr>
                <w:rFonts w:ascii="Times New Roman" w:hAnsi="Times New Roman" w:cs="Times New Roman"/>
                <w:b/>
                <w:color w:val="000000" w:themeColor="text1"/>
                <w:sz w:val="24"/>
                <w:szCs w:val="24"/>
              </w:rPr>
              <w:t>图1-</w:t>
            </w:r>
            <w:r>
              <w:rPr>
                <w:rFonts w:hint="eastAsia"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项目水平衡分析（m</w:t>
            </w:r>
            <w:r>
              <w:rPr>
                <w:rFonts w:ascii="Times New Roman" w:hAnsi="Times New Roman" w:cs="Times New Roman"/>
                <w:b/>
                <w:color w:val="000000" w:themeColor="text1"/>
                <w:sz w:val="24"/>
                <w:szCs w:val="24"/>
                <w:vertAlign w:val="superscript"/>
              </w:rPr>
              <w:t>3</w:t>
            </w:r>
            <w:r>
              <w:rPr>
                <w:rFonts w:ascii="Times New Roman" w:hAnsi="Times New Roman" w:cs="Times New Roman"/>
                <w:b/>
                <w:color w:val="000000" w:themeColor="text1"/>
                <w:sz w:val="24"/>
                <w:szCs w:val="24"/>
              </w:rPr>
              <w:t>/d）</w:t>
            </w:r>
            <w:r>
              <w:rPr>
                <w:rFonts w:hint="eastAsia" w:ascii="Times New Roman" w:hAnsi="Times New Roman" w:cs="Times New Roman"/>
                <w:b/>
                <w:color w:val="000000" w:themeColor="text1"/>
                <w:sz w:val="24"/>
                <w:szCs w:val="24"/>
              </w:rPr>
              <w:t>（采暖季）</w:t>
            </w:r>
          </w:p>
          <w:p>
            <w:pPr>
              <w:spacing w:line="500" w:lineRule="exact"/>
              <w:ind w:firstLine="480" w:firstLineChars="200"/>
              <w:rPr>
                <w:rFonts w:ascii="Times New Roman" w:hAnsi="Times New Roman" w:cs="Times New Roman"/>
                <w:b/>
                <w:sz w:val="24"/>
                <w:szCs w:val="24"/>
              </w:rPr>
            </w:pPr>
            <w:r>
              <w:rPr>
                <w:rFonts w:ascii="Times New Roman" w:hAnsi="Times New Roman" w:cs="Times New Roman"/>
                <w:sz w:val="24"/>
                <w:szCs w:val="24"/>
              </w:rPr>
              <w:t>（4）供暖：冬季生产区不采暖，生活区采暖使用电暖。</w:t>
            </w:r>
          </w:p>
          <w:p>
            <w:pPr>
              <w:pStyle w:val="23"/>
              <w:spacing w:line="500" w:lineRule="exact"/>
              <w:ind w:left="0" w:right="0" w:rightChars="0" w:firstLine="482" w:firstLineChars="200"/>
              <w:rPr>
                <w:rFonts w:ascii="Times New Roman" w:eastAsiaTheme="minorEastAsia"/>
                <w:b/>
                <w:sz w:val="24"/>
                <w:szCs w:val="24"/>
              </w:rPr>
            </w:pPr>
            <w:r>
              <w:rPr>
                <w:rFonts w:ascii="Times New Roman" w:eastAsiaTheme="minorEastAsia"/>
                <w:b/>
                <w:sz w:val="24"/>
                <w:szCs w:val="24"/>
              </w:rPr>
              <w:t>14</w:t>
            </w:r>
            <w:r>
              <w:rPr>
                <w:rFonts w:hint="eastAsia" w:ascii="Times New Roman" w:eastAsiaTheme="minorEastAsia"/>
                <w:b/>
                <w:sz w:val="24"/>
                <w:szCs w:val="24"/>
              </w:rPr>
              <w:t>、</w:t>
            </w:r>
            <w:r>
              <w:rPr>
                <w:rFonts w:ascii="Times New Roman" w:eastAsiaTheme="minorEastAsia"/>
                <w:b/>
                <w:sz w:val="24"/>
                <w:szCs w:val="24"/>
              </w:rPr>
              <w:t>环保投资</w:t>
            </w:r>
          </w:p>
          <w:p>
            <w:pPr>
              <w:spacing w:line="500" w:lineRule="exact"/>
              <w:ind w:firstLine="480" w:firstLineChars="200"/>
              <w:rPr>
                <w:rFonts w:ascii="Times New Roman" w:hAnsi="Times New Roman" w:cs="Times New Roman"/>
                <w:kern w:val="10"/>
                <w:sz w:val="24"/>
                <w:szCs w:val="24"/>
              </w:rPr>
            </w:pPr>
            <w:r>
              <w:rPr>
                <w:rFonts w:ascii="Times New Roman" w:hAnsi="Times New Roman" w:cs="Times New Roman"/>
                <w:kern w:val="10"/>
                <w:sz w:val="24"/>
                <w:szCs w:val="24"/>
              </w:rPr>
              <w:t>本项目总投资</w:t>
            </w:r>
            <w:r>
              <w:rPr>
                <w:rFonts w:hint="eastAsia" w:ascii="Times New Roman" w:hAnsi="Times New Roman" w:cs="Times New Roman"/>
                <w:kern w:val="10"/>
                <w:sz w:val="24"/>
                <w:szCs w:val="24"/>
              </w:rPr>
              <w:t>150</w:t>
            </w:r>
            <w:r>
              <w:rPr>
                <w:rFonts w:ascii="Times New Roman" w:hAnsi="Times New Roman" w:cs="Times New Roman"/>
                <w:kern w:val="10"/>
                <w:sz w:val="24"/>
                <w:szCs w:val="24"/>
              </w:rPr>
              <w:t>万元，资金全部为企业自筹，其中，环保投</w:t>
            </w:r>
            <w:r>
              <w:rPr>
                <w:rFonts w:ascii="Times New Roman" w:hAnsi="Times New Roman" w:cs="Times New Roman"/>
                <w:color w:val="000000" w:themeColor="text1"/>
                <w:kern w:val="10"/>
                <w:sz w:val="24"/>
                <w:szCs w:val="24"/>
              </w:rPr>
              <w:t>资</w:t>
            </w:r>
            <w:r>
              <w:rPr>
                <w:rFonts w:hint="eastAsia" w:ascii="Times New Roman" w:hAnsi="Times New Roman" w:cs="Times New Roman"/>
                <w:color w:val="000000" w:themeColor="text1"/>
                <w:kern w:val="10"/>
                <w:sz w:val="24"/>
                <w:szCs w:val="24"/>
              </w:rPr>
              <w:t>30</w:t>
            </w:r>
            <w:r>
              <w:rPr>
                <w:rFonts w:ascii="Times New Roman" w:hAnsi="Times New Roman" w:cs="Times New Roman"/>
                <w:color w:val="000000" w:themeColor="text1"/>
                <w:kern w:val="10"/>
                <w:sz w:val="24"/>
                <w:szCs w:val="24"/>
              </w:rPr>
              <w:t>万元，</w:t>
            </w:r>
            <w:r>
              <w:rPr>
                <w:rFonts w:ascii="Times New Roman" w:hAnsi="Times New Roman" w:cs="Times New Roman"/>
                <w:kern w:val="10"/>
                <w:sz w:val="24"/>
                <w:szCs w:val="24"/>
              </w:rPr>
              <w:t>占总投资比例的</w:t>
            </w:r>
            <w:r>
              <w:rPr>
                <w:rFonts w:hint="eastAsia" w:ascii="Times New Roman" w:hAnsi="Times New Roman" w:cs="Times New Roman"/>
                <w:kern w:val="10"/>
                <w:sz w:val="24"/>
                <w:szCs w:val="24"/>
              </w:rPr>
              <w:t>20</w:t>
            </w:r>
            <w:r>
              <w:rPr>
                <w:rFonts w:ascii="Times New Roman" w:hAnsi="Times New Roman" w:cs="Times New Roman"/>
                <w:kern w:val="10"/>
                <w:sz w:val="24"/>
                <w:szCs w:val="24"/>
              </w:rPr>
              <w:t>%。环保投资见表1-8。</w:t>
            </w:r>
          </w:p>
          <w:p>
            <w:pPr>
              <w:pStyle w:val="239"/>
              <w:spacing w:line="500" w:lineRule="exact"/>
              <w:jc w:val="center"/>
              <w:rPr>
                <w:rFonts w:eastAsiaTheme="minorEastAsia"/>
                <w:b/>
                <w:sz w:val="21"/>
                <w:szCs w:val="21"/>
              </w:rPr>
            </w:pPr>
            <w:r>
              <w:rPr>
                <w:rFonts w:eastAsiaTheme="minorEastAsia"/>
                <w:b/>
                <w:sz w:val="21"/>
                <w:szCs w:val="21"/>
              </w:rPr>
              <w:t>表1-8  环保投资估算表</w:t>
            </w:r>
          </w:p>
          <w:tbl>
            <w:tblPr>
              <w:tblStyle w:val="40"/>
              <w:tblW w:w="9071"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08"/>
              <w:gridCol w:w="250"/>
              <w:gridCol w:w="1054"/>
              <w:gridCol w:w="5596"/>
              <w:gridCol w:w="11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61" w:type="dxa"/>
                  <w:tcBorders>
                    <w:tl2br w:val="nil"/>
                    <w:tr2bl w:val="nil"/>
                  </w:tcBorders>
                  <w:vAlign w:val="center"/>
                </w:tcPr>
                <w:p>
                  <w:pPr>
                    <w:ind w:right="113"/>
                    <w:jc w:val="center"/>
                    <w:rPr>
                      <w:rFonts w:ascii="Times New Roman" w:hAnsi="Times New Roman" w:cs="Times New Roman"/>
                      <w:b/>
                      <w:szCs w:val="21"/>
                    </w:rPr>
                  </w:pPr>
                  <w:r>
                    <w:rPr>
                      <w:rFonts w:ascii="Times New Roman" w:hAnsi="Times New Roman" w:cs="Times New Roman"/>
                      <w:b/>
                      <w:szCs w:val="21"/>
                    </w:rPr>
                    <w:t>序号</w:t>
                  </w:r>
                </w:p>
              </w:tc>
              <w:tc>
                <w:tcPr>
                  <w:tcW w:w="508" w:type="dxa"/>
                  <w:tcBorders>
                    <w:tl2br w:val="nil"/>
                    <w:tr2bl w:val="nil"/>
                  </w:tcBorders>
                  <w:vAlign w:val="center"/>
                </w:tcPr>
                <w:p>
                  <w:pPr>
                    <w:ind w:right="113"/>
                    <w:jc w:val="center"/>
                    <w:rPr>
                      <w:rFonts w:ascii="Times New Roman" w:hAnsi="Times New Roman" w:cs="Times New Roman"/>
                      <w:b/>
                      <w:szCs w:val="21"/>
                    </w:rPr>
                  </w:pPr>
                  <w:r>
                    <w:rPr>
                      <w:rFonts w:ascii="Times New Roman" w:hAnsi="Times New Roman" w:cs="Times New Roman"/>
                      <w:b/>
                      <w:szCs w:val="21"/>
                    </w:rPr>
                    <w:t>类别</w:t>
                  </w:r>
                </w:p>
              </w:tc>
              <w:tc>
                <w:tcPr>
                  <w:tcW w:w="1304" w:type="dxa"/>
                  <w:gridSpan w:val="2"/>
                  <w:tcBorders>
                    <w:tl2br w:val="nil"/>
                    <w:tr2bl w:val="nil"/>
                  </w:tcBorders>
                  <w:vAlign w:val="center"/>
                </w:tcPr>
                <w:p>
                  <w:pPr>
                    <w:ind w:right="113"/>
                    <w:jc w:val="center"/>
                    <w:rPr>
                      <w:rFonts w:ascii="Times New Roman" w:hAnsi="Times New Roman" w:cs="Times New Roman"/>
                      <w:szCs w:val="21"/>
                    </w:rPr>
                  </w:pPr>
                  <w:r>
                    <w:rPr>
                      <w:rFonts w:ascii="Times New Roman" w:hAnsi="Times New Roman" w:cs="Times New Roman"/>
                      <w:b/>
                      <w:szCs w:val="21"/>
                    </w:rPr>
                    <w:t>污染物</w:t>
                  </w:r>
                </w:p>
              </w:tc>
              <w:tc>
                <w:tcPr>
                  <w:tcW w:w="5596" w:type="dxa"/>
                  <w:tcBorders>
                    <w:tl2br w:val="nil"/>
                    <w:tr2bl w:val="nil"/>
                  </w:tcBorders>
                  <w:vAlign w:val="center"/>
                </w:tcPr>
                <w:p>
                  <w:pPr>
                    <w:ind w:right="113"/>
                    <w:jc w:val="center"/>
                    <w:rPr>
                      <w:rFonts w:ascii="Times New Roman" w:hAnsi="Times New Roman" w:cs="Times New Roman"/>
                      <w:szCs w:val="21"/>
                    </w:rPr>
                  </w:pPr>
                  <w:r>
                    <w:rPr>
                      <w:rFonts w:ascii="Times New Roman" w:hAnsi="Times New Roman" w:cs="Times New Roman"/>
                      <w:b/>
                      <w:szCs w:val="21"/>
                    </w:rPr>
                    <w:t>治理措施</w:t>
                  </w:r>
                </w:p>
              </w:tc>
              <w:tc>
                <w:tcPr>
                  <w:tcW w:w="1102" w:type="dxa"/>
                  <w:tcBorders>
                    <w:tl2br w:val="nil"/>
                    <w:tr2bl w:val="nil"/>
                  </w:tcBorders>
                  <w:vAlign w:val="center"/>
                </w:tcPr>
                <w:p>
                  <w:pPr>
                    <w:pStyle w:val="81"/>
                    <w:spacing w:line="240" w:lineRule="auto"/>
                    <w:rPr>
                      <w:rFonts w:eastAsiaTheme="minorEastAsia"/>
                      <w:b/>
                      <w:sz w:val="21"/>
                      <w:szCs w:val="21"/>
                    </w:rPr>
                  </w:pPr>
                  <w:r>
                    <w:rPr>
                      <w:rFonts w:eastAsiaTheme="minorEastAsia"/>
                      <w:b/>
                      <w:sz w:val="21"/>
                      <w:szCs w:val="21"/>
                    </w:rPr>
                    <w:t>投资金额</w:t>
                  </w:r>
                </w:p>
                <w:p>
                  <w:pPr>
                    <w:ind w:right="113"/>
                    <w:jc w:val="center"/>
                    <w:rPr>
                      <w:rFonts w:ascii="Times New Roman" w:hAnsi="Times New Roman" w:cs="Times New Roman"/>
                      <w:kern w:val="0"/>
                      <w:szCs w:val="21"/>
                    </w:rPr>
                  </w:pPr>
                  <w:r>
                    <w:rPr>
                      <w:rFonts w:ascii="Times New Roman" w:hAnsi="Times New Roman" w:cs="Times New Roman"/>
                      <w:b/>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61"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1</w:t>
                  </w:r>
                </w:p>
              </w:tc>
              <w:tc>
                <w:tcPr>
                  <w:tcW w:w="508"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大气</w:t>
                  </w:r>
                </w:p>
              </w:tc>
              <w:tc>
                <w:tcPr>
                  <w:tcW w:w="1304" w:type="dxa"/>
                  <w:gridSpan w:val="2"/>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szCs w:val="21"/>
                    </w:rPr>
                    <w:t>进料、破碎、振筛工序</w:t>
                  </w:r>
                </w:p>
              </w:tc>
              <w:tc>
                <w:tcPr>
                  <w:tcW w:w="5596"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szCs w:val="21"/>
                    </w:rPr>
                    <w:t>在进料</w:t>
                  </w:r>
                  <w:r>
                    <w:rPr>
                      <w:rFonts w:hint="eastAsia" w:ascii="Times New Roman" w:hAnsi="Times New Roman" w:cs="Times New Roman"/>
                      <w:szCs w:val="21"/>
                      <w:lang w:eastAsia="zh-CN"/>
                    </w:rPr>
                    <w:t>机进料口、</w:t>
                  </w:r>
                  <w:r>
                    <w:rPr>
                      <w:rFonts w:hint="eastAsia" w:ascii="Times New Roman" w:hAnsi="Times New Roman" w:cs="Times New Roman"/>
                      <w:szCs w:val="21"/>
                    </w:rPr>
                    <w:t>颚式破碎机</w:t>
                  </w:r>
                  <w:r>
                    <w:rPr>
                      <w:rFonts w:hint="eastAsia" w:ascii="Times New Roman" w:hAnsi="Times New Roman" w:cs="Times New Roman"/>
                      <w:szCs w:val="21"/>
                      <w:lang w:eastAsia="zh-CN"/>
                    </w:rPr>
                    <w:t>出料口</w:t>
                  </w:r>
                  <w:r>
                    <w:rPr>
                      <w:rFonts w:hint="eastAsia" w:ascii="Times New Roman" w:hAnsi="Times New Roman" w:cs="Times New Roman"/>
                      <w:szCs w:val="21"/>
                    </w:rPr>
                    <w:t>、锤式破碎机、振筛机机出料口和进料口共设置</w:t>
                  </w:r>
                  <w:r>
                    <w:rPr>
                      <w:rFonts w:hint="eastAsia" w:ascii="Times New Roman" w:hAnsi="Times New Roman" w:cs="Times New Roman"/>
                      <w:szCs w:val="21"/>
                      <w:lang w:val="en-US" w:eastAsia="zh-CN"/>
                    </w:rPr>
                    <w:t>6</w:t>
                  </w:r>
                  <w:r>
                    <w:rPr>
                      <w:rFonts w:hint="eastAsia" w:ascii="Times New Roman" w:hAnsi="Times New Roman" w:cs="Times New Roman"/>
                      <w:szCs w:val="21"/>
                    </w:rPr>
                    <w:t>个伞形集气罩收集废气，粉尘经收集引至1套袋式除尘器处理后通过1根15m高排气筒外排</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61"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0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04" w:type="dxa"/>
                  <w:gridSpan w:val="2"/>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color w:val="000000" w:themeColor="text1"/>
                      <w:szCs w:val="21"/>
                    </w:rPr>
                    <w:t>原料及产品堆放和</w:t>
                  </w:r>
                  <w:r>
                    <w:rPr>
                      <w:rFonts w:hint="eastAsia" w:ascii="Times New Roman" w:hAnsi="Times New Roman" w:cs="Times New Roman"/>
                      <w:szCs w:val="21"/>
                    </w:rPr>
                    <w:t>装卸</w:t>
                  </w:r>
                </w:p>
              </w:tc>
              <w:tc>
                <w:tcPr>
                  <w:tcW w:w="5596"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车间通过在原料区、成品区各设置1套自动雾化喷淋设施喷淋降尘，喷雾范围为50m，可以满足全厂抑尘要求。物料全部入棚，</w:t>
                  </w:r>
                  <w:r>
                    <w:rPr>
                      <w:rFonts w:hint="eastAsia" w:ascii="Times New Roman" w:hAnsi="Times New Roman" w:cs="Times New Roman"/>
                      <w:kern w:val="0"/>
                      <w:szCs w:val="21"/>
                      <w:lang w:eastAsia="zh-CN"/>
                    </w:rPr>
                    <w:t>车间出入口设自动推门，实现车间全封闭</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0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04" w:type="dxa"/>
                  <w:gridSpan w:val="2"/>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转载</w:t>
                  </w:r>
                  <w:r>
                    <w:rPr>
                      <w:rFonts w:hint="eastAsia" w:ascii="Times New Roman" w:hAnsi="Times New Roman" w:cs="Times New Roman"/>
                      <w:kern w:val="0"/>
                      <w:szCs w:val="21"/>
                    </w:rPr>
                    <w:t>工序</w:t>
                  </w:r>
                </w:p>
              </w:tc>
              <w:tc>
                <w:tcPr>
                  <w:tcW w:w="5596"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物料传送</w:t>
                  </w:r>
                  <w:r>
                    <w:rPr>
                      <w:rFonts w:ascii="Times New Roman" w:hAnsi="Times New Roman" w:cs="Times New Roman"/>
                      <w:kern w:val="0"/>
                      <w:szCs w:val="21"/>
                    </w:rPr>
                    <w:t>采用密封的皮带输送，原料密闭输送</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61"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0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04" w:type="dxa"/>
                  <w:gridSpan w:val="2"/>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szCs w:val="21"/>
                    </w:rPr>
                    <w:t>运输</w:t>
                  </w:r>
                  <w:r>
                    <w:rPr>
                      <w:rFonts w:hint="eastAsia" w:ascii="Times New Roman" w:hAnsi="Times New Roman" w:cs="Times New Roman"/>
                      <w:szCs w:val="21"/>
                    </w:rPr>
                    <w:t>工序</w:t>
                  </w:r>
                </w:p>
              </w:tc>
              <w:tc>
                <w:tcPr>
                  <w:tcW w:w="5596"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spacing w:val="4"/>
                      <w:szCs w:val="21"/>
                    </w:rPr>
                    <w:t>路面硬化，原料运输车辆采取汽车运输苫布遮盖、厂区内限制车速等措施</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61"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2</w:t>
                  </w:r>
                </w:p>
              </w:tc>
              <w:tc>
                <w:tcPr>
                  <w:tcW w:w="508"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废水</w:t>
                  </w:r>
                </w:p>
              </w:tc>
              <w:tc>
                <w:tcPr>
                  <w:tcW w:w="1304" w:type="dxa"/>
                  <w:gridSpan w:val="2"/>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生活污水</w:t>
                  </w:r>
                </w:p>
              </w:tc>
              <w:tc>
                <w:tcPr>
                  <w:tcW w:w="5596"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设防渗旱厕1座，委托当地村民定期清掏外运用于周边农田施肥，生活污水经沉淀后用于厂区洒水抑尘</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561"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0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04" w:type="dxa"/>
                  <w:gridSpan w:val="2"/>
                  <w:vMerge w:val="restart"/>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生产废水</w:t>
                  </w:r>
                </w:p>
              </w:tc>
              <w:tc>
                <w:tcPr>
                  <w:tcW w:w="5596" w:type="dxa"/>
                  <w:tcBorders>
                    <w:tl2br w:val="nil"/>
                    <w:tr2bl w:val="nil"/>
                  </w:tcBorders>
                  <w:vAlign w:val="center"/>
                </w:tcPr>
                <w:p>
                  <w:pPr>
                    <w:ind w:right="113"/>
                    <w:jc w:val="center"/>
                    <w:rPr>
                      <w:rFonts w:ascii="Times New Roman" w:hAnsi="Times New Roman" w:cs="Times New Roman"/>
                      <w:bCs/>
                      <w:kern w:val="0"/>
                      <w:szCs w:val="21"/>
                    </w:rPr>
                  </w:pPr>
                  <w:r>
                    <w:rPr>
                      <w:rFonts w:hint="eastAsia" w:ascii="Times New Roman" w:hAnsi="Times New Roman" w:cs="Times New Roman"/>
                      <w:bCs/>
                      <w:kern w:val="0"/>
                      <w:szCs w:val="21"/>
                    </w:rPr>
                    <w:t>厂区门口设置1套车辆自动冲洗装置、沉淀池和清水池（各5m</w:t>
                  </w:r>
                  <w:r>
                    <w:rPr>
                      <w:rFonts w:hint="eastAsia" w:ascii="Times New Roman" w:hAnsi="Times New Roman" w:cs="Times New Roman"/>
                      <w:bCs/>
                      <w:kern w:val="0"/>
                      <w:szCs w:val="21"/>
                      <w:vertAlign w:val="superscript"/>
                    </w:rPr>
                    <w:t>3</w:t>
                  </w:r>
                  <w:r>
                    <w:rPr>
                      <w:rFonts w:hint="eastAsia" w:ascii="Times New Roman" w:hAnsi="Times New Roman" w:cs="Times New Roman"/>
                      <w:bCs/>
                      <w:kern w:val="0"/>
                      <w:szCs w:val="21"/>
                    </w:rPr>
                    <w:t>），洗车废水经沉淀池后循环使用，不外排</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561"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0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04" w:type="dxa"/>
                  <w:gridSpan w:val="2"/>
                  <w:vMerge w:val="continue"/>
                  <w:tcBorders>
                    <w:tl2br w:val="nil"/>
                    <w:tr2bl w:val="nil"/>
                  </w:tcBorders>
                  <w:vAlign w:val="center"/>
                </w:tcPr>
                <w:p>
                  <w:pPr>
                    <w:ind w:right="113"/>
                    <w:jc w:val="center"/>
                    <w:rPr>
                      <w:rFonts w:ascii="Times New Roman" w:hAnsi="Times New Roman" w:cs="Times New Roman"/>
                      <w:kern w:val="0"/>
                      <w:szCs w:val="21"/>
                    </w:rPr>
                  </w:pPr>
                </w:p>
              </w:tc>
              <w:tc>
                <w:tcPr>
                  <w:tcW w:w="5596" w:type="dxa"/>
                  <w:tcBorders>
                    <w:tl2br w:val="nil"/>
                    <w:tr2bl w:val="nil"/>
                  </w:tcBorders>
                  <w:vAlign w:val="center"/>
                </w:tcPr>
                <w:p>
                  <w:pPr>
                    <w:ind w:right="113"/>
                    <w:jc w:val="center"/>
                    <w:rPr>
                      <w:rFonts w:ascii="Times New Roman" w:hAnsi="Times New Roman" w:cs="Times New Roman"/>
                      <w:bCs/>
                      <w:kern w:val="0"/>
                      <w:szCs w:val="21"/>
                    </w:rPr>
                  </w:pPr>
                  <w:r>
                    <w:rPr>
                      <w:rFonts w:hint="eastAsia" w:ascii="Times New Roman" w:hAnsi="Times New Roman" w:cs="Times New Roman"/>
                      <w:bCs/>
                      <w:kern w:val="0"/>
                      <w:szCs w:val="21"/>
                    </w:rPr>
                    <w:t>喷淋装置降尘用水蒸发自然损失</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561"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508"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1304" w:type="dxa"/>
                  <w:gridSpan w:val="2"/>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初期雨水</w:t>
                  </w:r>
                </w:p>
              </w:tc>
              <w:tc>
                <w:tcPr>
                  <w:tcW w:w="5596" w:type="dxa"/>
                  <w:tcBorders>
                    <w:tl2br w:val="nil"/>
                    <w:tr2bl w:val="nil"/>
                  </w:tcBorders>
                  <w:vAlign w:val="center"/>
                </w:tcPr>
                <w:p>
                  <w:pPr>
                    <w:ind w:right="113"/>
                    <w:jc w:val="center"/>
                    <w:rPr>
                      <w:rFonts w:ascii="Times New Roman" w:hAnsi="Times New Roman" w:cs="Times New Roman"/>
                      <w:bCs/>
                      <w:kern w:val="0"/>
                      <w:szCs w:val="21"/>
                    </w:rPr>
                  </w:pPr>
                  <w:r>
                    <w:rPr>
                      <w:rFonts w:hint="eastAsia" w:ascii="Times New Roman" w:hAnsi="Times New Roman" w:cs="Times New Roman"/>
                      <w:bCs/>
                      <w:kern w:val="0"/>
                      <w:szCs w:val="21"/>
                    </w:rPr>
                    <w:t>设一座</w:t>
                  </w:r>
                  <w:r>
                    <w:rPr>
                      <w:rFonts w:hint="eastAsia" w:ascii="Times New Roman" w:hAnsi="Times New Roman" w:cs="Times New Roman"/>
                      <w:bCs/>
                      <w:kern w:val="0"/>
                      <w:szCs w:val="21"/>
                      <w:lang w:val="en-US" w:eastAsia="zh-CN"/>
                    </w:rPr>
                    <w:t>2</w:t>
                  </w:r>
                  <w:r>
                    <w:rPr>
                      <w:rFonts w:hint="eastAsia" w:ascii="Times New Roman" w:hAnsi="Times New Roman" w:cs="Times New Roman"/>
                      <w:bCs/>
                      <w:kern w:val="0"/>
                      <w:szCs w:val="21"/>
                    </w:rPr>
                    <w:t>00m</w:t>
                  </w:r>
                  <w:r>
                    <w:rPr>
                      <w:rFonts w:hint="eastAsia" w:ascii="Times New Roman" w:hAnsi="Times New Roman" w:cs="Times New Roman"/>
                      <w:bCs/>
                      <w:kern w:val="0"/>
                      <w:szCs w:val="21"/>
                      <w:vertAlign w:val="superscript"/>
                    </w:rPr>
                    <w:t>3</w:t>
                  </w:r>
                  <w:r>
                    <w:rPr>
                      <w:rFonts w:hint="eastAsia" w:ascii="Times New Roman" w:hAnsi="Times New Roman" w:cs="Times New Roman"/>
                      <w:bCs/>
                      <w:kern w:val="0"/>
                      <w:szCs w:val="21"/>
                    </w:rPr>
                    <w:t>的初期雨水收集池</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61"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3</w:t>
                  </w:r>
                </w:p>
              </w:tc>
              <w:tc>
                <w:tcPr>
                  <w:tcW w:w="1812" w:type="dxa"/>
                  <w:gridSpan w:val="3"/>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噪声</w:t>
                  </w:r>
                </w:p>
              </w:tc>
              <w:tc>
                <w:tcPr>
                  <w:tcW w:w="5596"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bCs/>
                      <w:kern w:val="0"/>
                      <w:szCs w:val="21"/>
                    </w:rPr>
                    <w:t>对机械设备采取基础减振，车间采取隔声，吸声等措施，</w:t>
                  </w:r>
                  <w:r>
                    <w:rPr>
                      <w:rFonts w:ascii="Times New Roman" w:hAnsi="Times New Roman" w:cs="Times New Roman"/>
                      <w:kern w:val="0"/>
                      <w:szCs w:val="21"/>
                    </w:rPr>
                    <w:t>减小噪声对环境的影响</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4</w:t>
                  </w:r>
                </w:p>
              </w:tc>
              <w:tc>
                <w:tcPr>
                  <w:tcW w:w="758" w:type="dxa"/>
                  <w:gridSpan w:val="2"/>
                  <w:vMerge w:val="restart"/>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固废</w:t>
                  </w:r>
                </w:p>
              </w:tc>
              <w:tc>
                <w:tcPr>
                  <w:tcW w:w="1054"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生产固废</w:t>
                  </w:r>
                </w:p>
              </w:tc>
              <w:tc>
                <w:tcPr>
                  <w:tcW w:w="5596" w:type="dxa"/>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除尘器收尘</w:t>
                  </w:r>
                  <w:r>
                    <w:rPr>
                      <w:rFonts w:hint="eastAsia" w:ascii="Times New Roman" w:hAnsi="Times New Roman" w:cs="Times New Roman"/>
                      <w:kern w:val="0"/>
                      <w:szCs w:val="21"/>
                    </w:rPr>
                    <w:t>收集后和</w:t>
                  </w:r>
                  <w:r>
                    <w:rPr>
                      <w:rFonts w:hint="eastAsia" w:ascii="Times New Roman" w:hAnsi="Times New Roman" w:cs="Times New Roman"/>
                      <w:kern w:val="0"/>
                      <w:szCs w:val="21"/>
                      <w:lang w:eastAsia="zh-CN"/>
                    </w:rPr>
                    <w:t>小于</w:t>
                  </w:r>
                  <w:r>
                    <w:rPr>
                      <w:rFonts w:hint="eastAsia" w:ascii="Times New Roman" w:hAnsi="Times New Roman" w:cs="Times New Roman"/>
                      <w:kern w:val="0"/>
                      <w:szCs w:val="21"/>
                    </w:rPr>
                    <w:t>2cm的石料一起外售</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61" w:type="dxa"/>
                  <w:vMerge w:val="continue"/>
                  <w:tcBorders>
                    <w:tl2br w:val="nil"/>
                    <w:tr2bl w:val="nil"/>
                  </w:tcBorders>
                  <w:vAlign w:val="center"/>
                </w:tcPr>
                <w:p>
                  <w:pPr>
                    <w:ind w:right="113"/>
                    <w:jc w:val="center"/>
                    <w:rPr>
                      <w:rFonts w:ascii="Times New Roman" w:hAnsi="Times New Roman" w:cs="Times New Roman"/>
                      <w:kern w:val="0"/>
                      <w:szCs w:val="21"/>
                    </w:rPr>
                  </w:pPr>
                </w:p>
              </w:tc>
              <w:tc>
                <w:tcPr>
                  <w:tcW w:w="758" w:type="dxa"/>
                  <w:gridSpan w:val="2"/>
                  <w:vMerge w:val="continue"/>
                  <w:tcBorders>
                    <w:tl2br w:val="nil"/>
                    <w:tr2bl w:val="nil"/>
                  </w:tcBorders>
                  <w:vAlign w:val="center"/>
                </w:tcPr>
                <w:p>
                  <w:pPr>
                    <w:ind w:right="113"/>
                    <w:jc w:val="center"/>
                    <w:rPr>
                      <w:rFonts w:ascii="Times New Roman" w:hAnsi="Times New Roman" w:cs="Times New Roman"/>
                      <w:kern w:val="0"/>
                      <w:szCs w:val="21"/>
                    </w:rPr>
                  </w:pPr>
                </w:p>
              </w:tc>
              <w:tc>
                <w:tcPr>
                  <w:tcW w:w="1054"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危险废物</w:t>
                  </w:r>
                </w:p>
              </w:tc>
              <w:tc>
                <w:tcPr>
                  <w:tcW w:w="5596"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维修产生的废机油暂存于厂区危废暂存间，交由有资质的危废单位处置</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7969" w:type="dxa"/>
                  <w:gridSpan w:val="5"/>
                  <w:tcBorders>
                    <w:tl2br w:val="nil"/>
                    <w:tr2bl w:val="nil"/>
                  </w:tcBorders>
                  <w:vAlign w:val="center"/>
                </w:tcPr>
                <w:p>
                  <w:pPr>
                    <w:ind w:right="113"/>
                    <w:jc w:val="center"/>
                    <w:rPr>
                      <w:rFonts w:ascii="Times New Roman" w:hAnsi="Times New Roman" w:cs="Times New Roman"/>
                      <w:kern w:val="0"/>
                      <w:szCs w:val="21"/>
                    </w:rPr>
                  </w:pPr>
                  <w:r>
                    <w:rPr>
                      <w:rFonts w:ascii="Times New Roman" w:hAnsi="Times New Roman" w:cs="Times New Roman"/>
                      <w:kern w:val="0"/>
                      <w:szCs w:val="21"/>
                    </w:rPr>
                    <w:t>合计</w:t>
                  </w:r>
                </w:p>
              </w:tc>
              <w:tc>
                <w:tcPr>
                  <w:tcW w:w="1102" w:type="dxa"/>
                  <w:tcBorders>
                    <w:tl2br w:val="nil"/>
                    <w:tr2bl w:val="nil"/>
                  </w:tcBorders>
                  <w:vAlign w:val="center"/>
                </w:tcPr>
                <w:p>
                  <w:pPr>
                    <w:ind w:right="113"/>
                    <w:jc w:val="center"/>
                    <w:rPr>
                      <w:rFonts w:ascii="Times New Roman" w:hAnsi="Times New Roman" w:cs="Times New Roman"/>
                      <w:kern w:val="0"/>
                      <w:szCs w:val="21"/>
                    </w:rPr>
                  </w:pPr>
                  <w:r>
                    <w:rPr>
                      <w:rFonts w:hint="eastAsia" w:ascii="Times New Roman" w:hAnsi="Times New Roman" w:cs="Times New Roman"/>
                      <w:kern w:val="0"/>
                      <w:szCs w:val="21"/>
                    </w:rPr>
                    <w:t>30</w:t>
                  </w:r>
                </w:p>
              </w:tc>
            </w:tr>
          </w:tbl>
          <w:p>
            <w:pPr>
              <w:adjustRightInd w:val="0"/>
              <w:snapToGrid w:val="0"/>
              <w:spacing w:line="500" w:lineRule="exact"/>
              <w:rPr>
                <w:rFonts w:ascii="Times New Roman" w:hAnsi="Times New Roman" w:cs="Times New Roman"/>
                <w:b/>
                <w:bCs/>
                <w:kern w:val="0"/>
                <w:sz w:val="28"/>
                <w:szCs w:val="28"/>
              </w:rPr>
            </w:pPr>
            <w:r>
              <w:rPr>
                <w:rFonts w:ascii="Times New Roman" w:hAnsi="Times New Roman" w:cs="Times New Roman"/>
                <w:b/>
                <w:bCs/>
                <w:kern w:val="0"/>
                <w:sz w:val="28"/>
                <w:szCs w:val="28"/>
              </w:rPr>
              <w:t>与本项目有关的原有污染情况及主要环境问题：</w:t>
            </w:r>
          </w:p>
          <w:p>
            <w:pPr>
              <w:pStyle w:val="238"/>
              <w:spacing w:line="500" w:lineRule="exact"/>
              <w:ind w:firstLine="480" w:firstLineChars="200"/>
              <w:jc w:val="both"/>
              <w:rPr>
                <w:rFonts w:eastAsiaTheme="minorEastAsia"/>
                <w:b w:val="0"/>
                <w:szCs w:val="24"/>
              </w:rPr>
            </w:pPr>
            <w:r>
              <w:rPr>
                <w:rFonts w:hint="eastAsia" w:eastAsiaTheme="minorEastAsia"/>
                <w:b w:val="0"/>
                <w:szCs w:val="24"/>
              </w:rPr>
              <w:t>鑫路通石料厂利用尾矿废石年产10万吨机制石料项目</w:t>
            </w:r>
            <w:r>
              <w:rPr>
                <w:rFonts w:eastAsiaTheme="minorEastAsia"/>
                <w:b w:val="0"/>
                <w:szCs w:val="24"/>
              </w:rPr>
              <w:t>位于</w:t>
            </w:r>
            <w:r>
              <w:rPr>
                <w:rFonts w:hint="eastAsia" w:eastAsiaTheme="minorEastAsia"/>
                <w:b w:val="0"/>
                <w:szCs w:val="24"/>
              </w:rPr>
              <w:t>山西省忻州市代县新高乡周流村南</w:t>
            </w:r>
            <w:r>
              <w:rPr>
                <w:rFonts w:eastAsiaTheme="minorEastAsia"/>
                <w:b w:val="0"/>
                <w:szCs w:val="24"/>
              </w:rPr>
              <w:t>，占地面积</w:t>
            </w:r>
            <w:r>
              <w:rPr>
                <w:rFonts w:hint="eastAsia" w:eastAsiaTheme="minorEastAsia"/>
                <w:b w:val="0"/>
                <w:szCs w:val="24"/>
              </w:rPr>
              <w:t>约为5927m</w:t>
            </w:r>
            <w:r>
              <w:rPr>
                <w:rFonts w:hint="eastAsia" w:eastAsiaTheme="minorEastAsia"/>
                <w:b w:val="0"/>
                <w:szCs w:val="24"/>
                <w:vertAlign w:val="superscript"/>
              </w:rPr>
              <w:t>2</w:t>
            </w:r>
            <w:r>
              <w:rPr>
                <w:rFonts w:eastAsiaTheme="minorEastAsia"/>
                <w:b w:val="0"/>
                <w:szCs w:val="24"/>
              </w:rPr>
              <w:t>，厂区原为</w:t>
            </w:r>
            <w:r>
              <w:rPr>
                <w:rFonts w:hint="eastAsia" w:eastAsiaTheme="minorEastAsia"/>
                <w:b w:val="0"/>
                <w:szCs w:val="24"/>
              </w:rPr>
              <w:t>工业闲置场地。</w:t>
            </w:r>
          </w:p>
          <w:p>
            <w:pPr>
              <w:pStyle w:val="238"/>
              <w:spacing w:line="500" w:lineRule="exact"/>
              <w:ind w:firstLine="480" w:firstLineChars="200"/>
              <w:jc w:val="both"/>
              <w:rPr>
                <w:rFonts w:eastAsiaTheme="minorEastAsia"/>
                <w:b w:val="0"/>
                <w:szCs w:val="24"/>
              </w:rPr>
            </w:pPr>
            <w:r>
              <w:rPr>
                <w:rFonts w:hint="eastAsia" w:eastAsiaTheme="minorEastAsia"/>
                <w:b w:val="0"/>
                <w:szCs w:val="24"/>
              </w:rPr>
              <w:t>环境遗留问题：场地现有砂堆，场地不平整。</w:t>
            </w:r>
          </w:p>
          <w:p>
            <w:pPr>
              <w:pStyle w:val="238"/>
              <w:spacing w:line="500" w:lineRule="exact"/>
              <w:ind w:firstLine="480" w:firstLineChars="200"/>
              <w:jc w:val="both"/>
              <w:rPr>
                <w:rFonts w:eastAsiaTheme="minorEastAsia"/>
                <w:b w:val="0"/>
                <w:szCs w:val="24"/>
              </w:rPr>
            </w:pPr>
            <w:r>
              <w:rPr>
                <w:rFonts w:hint="eastAsia" w:eastAsiaTheme="minorEastAsia"/>
                <w:b w:val="0"/>
                <w:szCs w:val="24"/>
              </w:rPr>
              <w:t>本项目在施工期先将土地平整，再进行工程建设。</w:t>
            </w: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ind w:firstLine="480" w:firstLineChars="200"/>
              <w:jc w:val="both"/>
              <w:rPr>
                <w:rFonts w:eastAsiaTheme="minorEastAsia"/>
                <w:b w:val="0"/>
                <w:szCs w:val="24"/>
              </w:rPr>
            </w:pPr>
          </w:p>
          <w:p>
            <w:pPr>
              <w:pStyle w:val="238"/>
              <w:spacing w:line="500" w:lineRule="exact"/>
              <w:jc w:val="both"/>
              <w:rPr>
                <w:rFonts w:eastAsiaTheme="minorEastAsia"/>
                <w:b w:val="0"/>
                <w:szCs w:val="24"/>
              </w:rPr>
            </w:pPr>
          </w:p>
        </w:tc>
      </w:tr>
    </w:tbl>
    <w:p>
      <w:pPr>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二、</w:t>
      </w:r>
      <w:r>
        <w:rPr>
          <w:rFonts w:ascii="Times New Roman" w:hAnsi="Times New Roman" w:eastAsia="黑体" w:cs="Times New Roman"/>
          <w:color w:val="000000" w:themeColor="text1"/>
          <w:sz w:val="32"/>
          <w:szCs w:val="32"/>
        </w:rPr>
        <w:t>建设项目所在地自然环境简况</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napToGrid w:val="0"/>
              <w:spacing w:line="480" w:lineRule="exact"/>
              <w:rPr>
                <w:rFonts w:ascii="Times New Roman" w:hAnsi="Times New Roman" w:cs="Times New Roman"/>
                <w:b/>
                <w:sz w:val="28"/>
                <w:szCs w:val="28"/>
              </w:rPr>
            </w:pPr>
            <w:r>
              <w:rPr>
                <w:rFonts w:ascii="Times New Roman" w:hAnsi="Times New Roman" w:cs="Times New Roman"/>
                <w:b/>
                <w:sz w:val="28"/>
                <w:szCs w:val="28"/>
              </w:rPr>
              <w:t>自然环境简况（地形、地貌、地质、气候、气象、水文、植被、生物多样性等）：</w:t>
            </w:r>
          </w:p>
          <w:p>
            <w:pPr>
              <w:adjustRightInd w:val="0"/>
              <w:snapToGrid w:val="0"/>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w:t>
            </w:r>
            <w:r>
              <w:rPr>
                <w:rFonts w:hint="eastAsia" w:ascii="Times New Roman" w:hAnsi="Times New Roman" w:cs="Times New Roman"/>
                <w:b/>
                <w:sz w:val="24"/>
                <w:szCs w:val="24"/>
              </w:rPr>
              <w:t>、</w:t>
            </w:r>
            <w:r>
              <w:rPr>
                <w:rFonts w:ascii="Times New Roman" w:hAnsi="Times New Roman" w:cs="Times New Roman"/>
                <w:b/>
                <w:sz w:val="24"/>
                <w:szCs w:val="24"/>
              </w:rPr>
              <w:t>地理位置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位于山西省东北部，雁门关下，北据恒山余脉，南跨五台山麓，滹沱河横贯东西，地处东经112°44′~113°22′，北纬38°50′~39°21′，东临繁峙，西接原平，南界五台，北毗山阴，属忻州市管辖，南北长60公里，东西宽约39公里。滹沱河由东北向西南横贯全境，地貌特征为“两山夹一川”，“七山一水二分田”。全县土地由山地、丘陵和河谷盆地盘结而成。代县县城距忻州市90km，距太原160km。全县总面积1696 km</w:t>
            </w:r>
            <w:r>
              <w:rPr>
                <w:rFonts w:ascii="Times New Roman" w:hAnsi="Times New Roman" w:cs="Times New Roman"/>
                <w:sz w:val="24"/>
                <w:szCs w:val="24"/>
                <w:vertAlign w:val="superscript"/>
              </w:rPr>
              <w:t>2</w:t>
            </w:r>
            <w:r>
              <w:rPr>
                <w:rFonts w:ascii="Times New Roman" w:hAnsi="Times New Roman" w:cs="Times New Roman"/>
                <w:sz w:val="24"/>
                <w:szCs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w:t>
            </w:r>
            <w:bookmarkStart w:id="0" w:name="_Hlk520211076"/>
            <w:r>
              <w:rPr>
                <w:rFonts w:ascii="Times New Roman" w:hAnsi="Times New Roman" w:cs="Times New Roman"/>
                <w:sz w:val="24"/>
                <w:szCs w:val="24"/>
              </w:rPr>
              <w:t>位于</w:t>
            </w:r>
            <w:r>
              <w:rPr>
                <w:rFonts w:hint="eastAsia" w:ascii="Times New Roman" w:hAnsi="Times New Roman" w:cs="Times New Roman"/>
                <w:bCs/>
                <w:color w:val="000000" w:themeColor="text1"/>
                <w:sz w:val="24"/>
                <w:szCs w:val="24"/>
              </w:rPr>
              <w:t>山西省忻州市代县新高乡周流村南</w:t>
            </w:r>
            <w:r>
              <w:rPr>
                <w:rFonts w:ascii="Times New Roman" w:hAnsi="Times New Roman" w:cs="Times New Roman"/>
                <w:sz w:val="24"/>
                <w:szCs w:val="24"/>
              </w:rPr>
              <w:t>，</w:t>
            </w:r>
            <w:bookmarkEnd w:id="0"/>
            <w:r>
              <w:rPr>
                <w:rFonts w:ascii="Times New Roman" w:hAnsi="Times New Roman" w:cs="Times New Roman"/>
                <w:sz w:val="24"/>
                <w:szCs w:val="24"/>
              </w:rPr>
              <w:t>占地</w:t>
            </w:r>
            <w:r>
              <w:rPr>
                <w:rFonts w:ascii="Times New Roman" w:hAnsi="Times New Roman" w:cs="Times New Roman"/>
                <w:color w:val="000000" w:themeColor="text1"/>
                <w:sz w:val="24"/>
                <w:szCs w:val="24"/>
              </w:rPr>
              <w:t>面积为</w:t>
            </w:r>
            <w:r>
              <w:rPr>
                <w:rFonts w:hint="eastAsia" w:ascii="Times New Roman" w:hAnsi="Times New Roman" w:cs="Times New Roman"/>
                <w:bCs/>
                <w:color w:val="000000" w:themeColor="text1"/>
                <w:sz w:val="24"/>
                <w:szCs w:val="24"/>
              </w:rPr>
              <w:t>5927</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hAnsi="Times New Roman" w:cs="Times New Roman"/>
                <w:sz w:val="24"/>
                <w:szCs w:val="24"/>
              </w:rPr>
              <w:t>厂址中心地理坐标为东经11</w:t>
            </w:r>
            <w:r>
              <w:rPr>
                <w:rFonts w:hint="eastAsia" w:ascii="Times New Roman" w:hAnsi="Times New Roman" w:cs="Times New Roman"/>
                <w:sz w:val="24"/>
                <w:szCs w:val="24"/>
              </w:rPr>
              <w:t>2.545270</w:t>
            </w:r>
            <w:r>
              <w:rPr>
                <w:rFonts w:ascii="Times New Roman" w:hAnsi="Times New Roman" w:cs="Times New Roman"/>
                <w:sz w:val="24"/>
                <w:szCs w:val="24"/>
              </w:rPr>
              <w:t>°，北纬</w:t>
            </w:r>
            <w:r>
              <w:rPr>
                <w:rFonts w:hint="eastAsia" w:ascii="Times New Roman" w:hAnsi="Times New Roman" w:cs="Times New Roman"/>
                <w:sz w:val="24"/>
                <w:szCs w:val="24"/>
              </w:rPr>
              <w:t>38.580705</w:t>
            </w:r>
            <w:r>
              <w:rPr>
                <w:rFonts w:ascii="Times New Roman" w:hAnsi="Times New Roman" w:cs="Times New Roman"/>
                <w:sz w:val="24"/>
                <w:szCs w:val="24"/>
              </w:rPr>
              <w:t>°。本项目北侧为</w:t>
            </w:r>
            <w:r>
              <w:rPr>
                <w:rFonts w:hint="eastAsia" w:ascii="Times New Roman" w:hAnsi="Times New Roman" w:cs="Times New Roman"/>
                <w:sz w:val="24"/>
                <w:szCs w:val="24"/>
              </w:rPr>
              <w:t>闲置空地和农田，再往北为选矿厂</w:t>
            </w:r>
            <w:r>
              <w:rPr>
                <w:rFonts w:ascii="Times New Roman" w:hAnsi="Times New Roman" w:cs="Times New Roman"/>
                <w:sz w:val="24"/>
                <w:szCs w:val="24"/>
              </w:rPr>
              <w:t>，</w:t>
            </w:r>
            <w:r>
              <w:rPr>
                <w:rFonts w:hint="eastAsia" w:ascii="Times New Roman" w:hAnsi="Times New Roman" w:cs="Times New Roman"/>
                <w:sz w:val="24"/>
                <w:szCs w:val="24"/>
              </w:rPr>
              <w:t>东</w:t>
            </w:r>
            <w:r>
              <w:rPr>
                <w:rFonts w:ascii="Times New Roman" w:hAnsi="Times New Roman" w:cs="Times New Roman"/>
                <w:sz w:val="24"/>
                <w:szCs w:val="24"/>
              </w:rPr>
              <w:t>侧为</w:t>
            </w:r>
            <w:r>
              <w:rPr>
                <w:rFonts w:hint="eastAsia" w:ascii="Times New Roman" w:hAnsi="Times New Roman" w:cs="Times New Roman"/>
                <w:sz w:val="24"/>
                <w:szCs w:val="24"/>
              </w:rPr>
              <w:t>林地，再往东为选矿厂</w:t>
            </w:r>
            <w:r>
              <w:rPr>
                <w:rFonts w:ascii="Times New Roman" w:hAnsi="Times New Roman" w:cs="Times New Roman"/>
                <w:sz w:val="24"/>
                <w:szCs w:val="24"/>
              </w:rPr>
              <w:t>，南侧为</w:t>
            </w:r>
            <w:r>
              <w:rPr>
                <w:rFonts w:hint="eastAsia" w:ascii="Times New Roman" w:hAnsi="Times New Roman" w:cs="Times New Roman"/>
                <w:sz w:val="24"/>
                <w:szCs w:val="24"/>
              </w:rPr>
              <w:t>选矿厂</w:t>
            </w:r>
            <w:r>
              <w:rPr>
                <w:rFonts w:ascii="Times New Roman" w:hAnsi="Times New Roman" w:cs="Times New Roman"/>
                <w:sz w:val="24"/>
                <w:szCs w:val="24"/>
              </w:rPr>
              <w:t>，</w:t>
            </w:r>
            <w:r>
              <w:rPr>
                <w:rFonts w:hint="eastAsia" w:ascii="Times New Roman" w:hAnsi="Times New Roman" w:cs="Times New Roman"/>
                <w:sz w:val="24"/>
                <w:szCs w:val="24"/>
              </w:rPr>
              <w:t>西侧为空地，</w:t>
            </w:r>
            <w:r>
              <w:rPr>
                <w:rFonts w:ascii="Times New Roman" w:hAnsi="Times New Roman" w:cs="Times New Roman"/>
                <w:sz w:val="24"/>
                <w:szCs w:val="24"/>
              </w:rPr>
              <w:t>土地手续见附件3。项目地理位置见附图1，项目四邻关系图见附图2。</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2</w:t>
            </w:r>
            <w:r>
              <w:rPr>
                <w:rFonts w:hint="eastAsia" w:ascii="Times New Roman" w:hAnsi="Times New Roman" w:cs="Times New Roman"/>
                <w:b/>
                <w:sz w:val="24"/>
                <w:szCs w:val="24"/>
              </w:rPr>
              <w:t>、</w:t>
            </w:r>
            <w:r>
              <w:rPr>
                <w:rFonts w:ascii="Times New Roman" w:hAnsi="Times New Roman" w:cs="Times New Roman"/>
                <w:b/>
                <w:sz w:val="24"/>
                <w:szCs w:val="24"/>
              </w:rPr>
              <w:t>地形、地貌</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地形由东北向西南倾斜，南北高山对峙，中部平川，滹沱河由东北向西南横绩全境，构成了河谷盆地、丘陵区和基岩山区三种类型。其中：河谷盆地占总面积的12.6%，黄土台地、丘陵地占总面积的16.9%，基岩山区占总面积的70.5%。境内南部山区属五台山脉，主要山峰有马鬃山、黑圪旦尖，黑圪旦尖为全县最高峰，海拔2548米。北部属恒山山脉，主要山峰有草垛山、馒头山、雁门山等，海拔均在1800米以上，其中馒头山2426米，为最高。雁门关位居其中，山高谷深，地势险要，历来为晋北要隘，兵家必争之地。中部地势平坦，土壤肥沃，是全县粮食、经济作物的主要产区。</w:t>
            </w:r>
          </w:p>
          <w:p>
            <w:pPr>
              <w:spacing w:line="500" w:lineRule="exact"/>
              <w:ind w:firstLine="480" w:firstLineChars="200"/>
              <w:jc w:val="left"/>
              <w:rPr>
                <w:rFonts w:ascii="Times New Roman" w:hAnsi="Times New Roman" w:cs="Times New Roman"/>
                <w:sz w:val="24"/>
                <w:szCs w:val="24"/>
              </w:rPr>
            </w:pPr>
            <w:r>
              <w:rPr>
                <w:rFonts w:ascii="Times New Roman" w:hAnsi="Times New Roman" w:cs="Times New Roman"/>
                <w:sz w:val="24"/>
                <w:szCs w:val="24"/>
              </w:rPr>
              <w:t>本项目区域及附近区域地势平坦。</w:t>
            </w:r>
          </w:p>
          <w:p>
            <w:pPr>
              <w:autoSpaceDE w:val="0"/>
              <w:autoSpaceDN w:val="0"/>
              <w:adjustRightInd w:val="0"/>
              <w:snapToGrid w:val="0"/>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3</w:t>
            </w:r>
            <w:r>
              <w:rPr>
                <w:rFonts w:hint="eastAsia" w:ascii="Times New Roman" w:hAnsi="Times New Roman" w:cs="Times New Roman"/>
                <w:b/>
                <w:sz w:val="24"/>
                <w:szCs w:val="24"/>
              </w:rPr>
              <w:t>、</w:t>
            </w:r>
            <w:r>
              <w:rPr>
                <w:rFonts w:ascii="Times New Roman" w:hAnsi="Times New Roman" w:cs="Times New Roman"/>
                <w:b/>
                <w:sz w:val="24"/>
                <w:szCs w:val="24"/>
              </w:rPr>
              <w:t>地质构造</w:t>
            </w:r>
          </w:p>
          <w:p>
            <w:pPr>
              <w:pStyle w:val="214"/>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代县地处元古代古北东向构造带与中生代祁吕—贺兰山字型构造东翼复合部位，新华夏系与前期构造的复合、干扰，在山西东北部形成多字型构造。县境即属该多字型构造的恒山隆起、五台山隆起及滹沱河断陷的一部分。</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代县境内出露的地质有中太古界恒山群，上太古界五台群、下元古界滹沱群、古生界寒武系、奥陶系、新生界第三系，第四系等。</w:t>
            </w:r>
          </w:p>
          <w:p>
            <w:pPr>
              <w:spacing w:line="500" w:lineRule="exact"/>
              <w:ind w:firstLine="480" w:firstLineChars="200"/>
              <w:rPr>
                <w:rFonts w:ascii="Times New Roman" w:hAnsi="Times New Roman" w:cs="Times New Roman"/>
              </w:rPr>
            </w:pPr>
            <w:r>
              <w:rPr>
                <w:rFonts w:ascii="Times New Roman" w:hAnsi="Times New Roman" w:cs="Times New Roman"/>
                <w:sz w:val="24"/>
                <w:szCs w:val="24"/>
              </w:rPr>
              <w:t>上太古界五台群，分布在县境内的五台山区，恒山区的雁门关至水岭一带出露，总面积900km</w:t>
            </w:r>
            <w:r>
              <w:rPr>
                <w:rFonts w:ascii="Times New Roman" w:hAnsi="Times New Roman" w:cs="Times New Roman"/>
                <w:sz w:val="24"/>
                <w:szCs w:val="24"/>
                <w:vertAlign w:val="superscript"/>
              </w:rPr>
              <w:t>2</w:t>
            </w:r>
            <w:r>
              <w:rPr>
                <w:rFonts w:ascii="Times New Roman" w:hAnsi="Times New Roman" w:cs="Times New Roman"/>
                <w:sz w:val="24"/>
                <w:szCs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下元古界滹沱群主要分部于康家湾到小中嘴一带，马武寒尖等地也有零星出露，总面积约100km</w:t>
            </w:r>
            <w:r>
              <w:rPr>
                <w:rFonts w:ascii="Times New Roman" w:hAnsi="Times New Roman" w:cs="Times New Roman"/>
                <w:sz w:val="24"/>
                <w:szCs w:val="24"/>
                <w:vertAlign w:val="superscript"/>
              </w:rPr>
              <w:t>2</w:t>
            </w:r>
            <w:r>
              <w:rPr>
                <w:rFonts w:ascii="Times New Roman" w:hAnsi="Times New Roman" w:cs="Times New Roman"/>
                <w:sz w:val="24"/>
                <w:szCs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新生界包括下第三系渐新统，上第三系上新统及第四系更新和全新统，其中下第三系渐统分布于滹沱河北岸的孤孤脑、子母石万、大山贝等地。面积约为15km</w:t>
            </w:r>
            <w:r>
              <w:rPr>
                <w:rFonts w:ascii="Times New Roman" w:hAnsi="Times New Roman" w:cs="Times New Roman"/>
                <w:sz w:val="24"/>
                <w:szCs w:val="24"/>
                <w:vertAlign w:val="superscript"/>
              </w:rPr>
              <w:t>2</w:t>
            </w:r>
            <w:r>
              <w:rPr>
                <w:rFonts w:ascii="Times New Roman" w:hAnsi="Times New Roman" w:cs="Times New Roman"/>
                <w:sz w:val="24"/>
                <w:szCs w:val="24"/>
              </w:rPr>
              <w:t>，岩性为黑绿色伊丁石化玄武岩。而上第三系土新统，则分布于李家庄村南的边山地带及高凡村附近三级基座阶地下部、滹沱河北岩黄土沟中也有零星分布，可分为上下两套，下部为冲积砂砾层夹粘土层，厚度约5至38米，上部为粘土层夹钙质层和碎石层，厚度约1至5米，含三趾马化石。</w:t>
            </w:r>
          </w:p>
          <w:p>
            <w:pPr>
              <w:autoSpaceDE w:val="0"/>
              <w:autoSpaceDN w:val="0"/>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4</w:t>
            </w:r>
            <w:r>
              <w:rPr>
                <w:rFonts w:hint="eastAsia" w:ascii="Times New Roman" w:hAnsi="Times New Roman" w:cs="Times New Roman"/>
                <w:b/>
                <w:sz w:val="24"/>
                <w:szCs w:val="24"/>
              </w:rPr>
              <w:t>、</w:t>
            </w:r>
            <w:r>
              <w:rPr>
                <w:rFonts w:ascii="Times New Roman" w:hAnsi="Times New Roman" w:cs="Times New Roman"/>
                <w:b/>
                <w:sz w:val="24"/>
                <w:szCs w:val="24"/>
              </w:rPr>
              <w:t>气候气象</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属温带性季风气候，四季分明。冬季寒冷少雪，春季温暖干燥多风，夏季炎热雨量集中，秋季天高气爽。全县年平均气温为5.5℃，年平均最低气温2.7℃，年平均最高气温9.3℃。一月最冷，平均气温-8.5℃，七月最热，平均气温23℃。全年及冬夏两季以ENE风为主，ENE风频率为12.8%。全年静风频率为5.28%，秋季静风频率最高为6.46%。年平均风速为2.84m/s，各季中以春季风速最大，平均为5.04m/s，秋季最小，风速为1.79m/s。大风日数全年19.3 天。年平均降水量473.2mm，最多达770mm，最少397mm，分布特征为随海拔增高而递增。年平均蒸发量1770.4mm。年日照时数 2645小时。无霜期为150天。冰冻期在每年10月至翌年4月。冻结深度为110cm。</w:t>
            </w:r>
          </w:p>
          <w:p>
            <w:pPr>
              <w:autoSpaceDE w:val="0"/>
              <w:autoSpaceDN w:val="0"/>
              <w:adjustRightInd w:val="0"/>
              <w:snapToGrid w:val="0"/>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5</w:t>
            </w:r>
            <w:r>
              <w:rPr>
                <w:rFonts w:hint="eastAsia" w:ascii="Times New Roman" w:hAnsi="Times New Roman" w:cs="Times New Roman"/>
                <w:b/>
                <w:sz w:val="24"/>
                <w:szCs w:val="24"/>
              </w:rPr>
              <w:t>、</w:t>
            </w:r>
            <w:r>
              <w:rPr>
                <w:rFonts w:ascii="Times New Roman" w:hAnsi="Times New Roman" w:cs="Times New Roman"/>
                <w:b/>
                <w:sz w:val="24"/>
                <w:szCs w:val="24"/>
              </w:rPr>
              <w:t>地表水</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代县境内主要河流为滹沱河，发源于繁峙、流经县域，多年平均流量0.976m</w:t>
            </w:r>
            <w:r>
              <w:rPr>
                <w:rFonts w:ascii="Times New Roman" w:hAnsi="Times New Roman" w:cs="Times New Roman"/>
                <w:sz w:val="24"/>
                <w:szCs w:val="24"/>
                <w:vertAlign w:val="superscript"/>
              </w:rPr>
              <w:t>3</w:t>
            </w:r>
            <w:r>
              <w:rPr>
                <w:rFonts w:ascii="Times New Roman" w:hAnsi="Times New Roman" w:cs="Times New Roman"/>
                <w:sz w:val="24"/>
                <w:szCs w:val="24"/>
              </w:rPr>
              <w:t>/s，最大年平均清水流量2.63m</w:t>
            </w:r>
            <w:r>
              <w:rPr>
                <w:rFonts w:ascii="Times New Roman" w:hAnsi="Times New Roman" w:cs="Times New Roman"/>
                <w:sz w:val="24"/>
                <w:szCs w:val="24"/>
                <w:vertAlign w:val="superscript"/>
              </w:rPr>
              <w:t>3</w:t>
            </w:r>
            <w:r>
              <w:rPr>
                <w:rFonts w:ascii="Times New Roman" w:hAnsi="Times New Roman" w:cs="Times New Roman"/>
                <w:sz w:val="24"/>
                <w:szCs w:val="24"/>
              </w:rPr>
              <w:t>/s，最小年平均清水流量0.02m</w:t>
            </w:r>
            <w:r>
              <w:rPr>
                <w:rFonts w:ascii="Times New Roman" w:hAnsi="Times New Roman" w:cs="Times New Roman"/>
                <w:sz w:val="24"/>
                <w:szCs w:val="24"/>
                <w:vertAlign w:val="superscript"/>
              </w:rPr>
              <w:t>3</w:t>
            </w:r>
            <w:r>
              <w:rPr>
                <w:rFonts w:ascii="Times New Roman" w:hAnsi="Times New Roman" w:cs="Times New Roman"/>
                <w:sz w:val="24"/>
                <w:szCs w:val="24"/>
              </w:rPr>
              <w:t>/s。境内流经区域：北岸有枣林、磨坊、城关、阳明堡4个乡镇，南岸有峨口、聂营、下庄、新高4个乡镇。至阳明堡镇小寨村入原平县境，境内流域面积1457km</w:t>
            </w:r>
            <w:r>
              <w:rPr>
                <w:rFonts w:ascii="Times New Roman" w:hAnsi="Times New Roman" w:cs="Times New Roman"/>
                <w:sz w:val="24"/>
                <w:szCs w:val="24"/>
                <w:vertAlign w:val="superscript"/>
              </w:rPr>
              <w:t>2</w:t>
            </w:r>
            <w:r>
              <w:rPr>
                <w:rFonts w:ascii="Times New Roman" w:hAnsi="Times New Roman" w:cs="Times New Roman"/>
                <w:sz w:val="24"/>
                <w:szCs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距离本项目最近的地表水体为滹沱河</w:t>
            </w:r>
            <w:r>
              <w:rPr>
                <w:rFonts w:hint="eastAsia" w:ascii="Times New Roman" w:hAnsi="Times New Roman" w:cs="Times New Roman"/>
                <w:sz w:val="24"/>
                <w:szCs w:val="24"/>
              </w:rPr>
              <w:t>，距离本项目西北侧约2670m</w:t>
            </w:r>
            <w:r>
              <w:rPr>
                <w:rFonts w:ascii="Times New Roman" w:hAnsi="Times New Roman" w:cs="Times New Roman"/>
                <w:sz w:val="24"/>
                <w:szCs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地表水系图见附图4。</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6</w:t>
            </w:r>
            <w:r>
              <w:rPr>
                <w:rFonts w:hint="eastAsia" w:ascii="Times New Roman" w:hAnsi="Times New Roman" w:cs="Times New Roman"/>
                <w:b/>
                <w:sz w:val="24"/>
                <w:szCs w:val="24"/>
              </w:rPr>
              <w:t>、</w:t>
            </w:r>
            <w:r>
              <w:rPr>
                <w:rFonts w:ascii="Times New Roman" w:hAnsi="Times New Roman" w:cs="Times New Roman"/>
                <w:b/>
                <w:sz w:val="24"/>
                <w:szCs w:val="24"/>
              </w:rPr>
              <w:t>地下水</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境内地下水含水层为卵砾石，中粗砂、粘土、亚粘土为相对隔水层。地下水的补给为大气降水垂直入渗与山区汇流侧向补给。境内绝大部分地下水为重碳酸—钙或重碳酸—钙镁型水。代县地下水补给资源为1.00269亿m</w:t>
            </w:r>
            <w:r>
              <w:rPr>
                <w:rFonts w:ascii="Times New Roman" w:hAnsi="Times New Roman" w:cs="Times New Roman"/>
                <w:sz w:val="24"/>
                <w:szCs w:val="24"/>
                <w:vertAlign w:val="superscript"/>
              </w:rPr>
              <w:t>3</w:t>
            </w:r>
            <w:r>
              <w:rPr>
                <w:rFonts w:ascii="Times New Roman" w:hAnsi="Times New Roman" w:cs="Times New Roman"/>
                <w:sz w:val="24"/>
                <w:szCs w:val="24"/>
              </w:rPr>
              <w:t>/a，其中盆地地下水资源为0.8218亿m</w:t>
            </w:r>
            <w:r>
              <w:rPr>
                <w:rFonts w:ascii="Times New Roman" w:hAnsi="Times New Roman" w:cs="Times New Roman"/>
                <w:sz w:val="24"/>
                <w:szCs w:val="24"/>
                <w:vertAlign w:val="superscript"/>
              </w:rPr>
              <w:t>3</w:t>
            </w:r>
            <w:r>
              <w:rPr>
                <w:rFonts w:ascii="Times New Roman" w:hAnsi="Times New Roman" w:cs="Times New Roman"/>
                <w:sz w:val="24"/>
                <w:szCs w:val="24"/>
              </w:rPr>
              <w:t>/a，潜水储存资源61484.95m</w:t>
            </w:r>
            <w:r>
              <w:rPr>
                <w:rFonts w:ascii="Times New Roman" w:hAnsi="Times New Roman" w:cs="Times New Roman"/>
                <w:sz w:val="24"/>
                <w:szCs w:val="24"/>
                <w:vertAlign w:val="superscript"/>
              </w:rPr>
              <w:t>3</w:t>
            </w:r>
            <w:r>
              <w:rPr>
                <w:rFonts w:ascii="Times New Roman" w:hAnsi="Times New Roman" w:cs="Times New Roman"/>
                <w:sz w:val="24"/>
                <w:szCs w:val="24"/>
              </w:rPr>
              <w:t>，承压水弹性储存资源为1.7310亿m</w:t>
            </w:r>
            <w:r>
              <w:rPr>
                <w:rFonts w:ascii="Times New Roman" w:hAnsi="Times New Roman" w:cs="Times New Roman"/>
                <w:sz w:val="24"/>
                <w:szCs w:val="24"/>
                <w:vertAlign w:val="superscript"/>
              </w:rPr>
              <w:t>3</w:t>
            </w:r>
            <w:r>
              <w:rPr>
                <w:rFonts w:ascii="Times New Roman" w:hAnsi="Times New Roman" w:cs="Times New Roman"/>
                <w:sz w:val="24"/>
                <w:szCs w:val="24"/>
              </w:rPr>
              <w:t>。承压水容积储存资源为3.9356亿m</w:t>
            </w:r>
            <w:r>
              <w:rPr>
                <w:rFonts w:ascii="Times New Roman" w:hAnsi="Times New Roman" w:cs="Times New Roman"/>
                <w:sz w:val="24"/>
                <w:szCs w:val="24"/>
                <w:vertAlign w:val="superscript"/>
              </w:rPr>
              <w:t>3</w:t>
            </w:r>
            <w:r>
              <w:rPr>
                <w:rFonts w:ascii="Times New Roman" w:hAnsi="Times New Roman" w:cs="Times New Roman"/>
                <w:sz w:val="24"/>
                <w:szCs w:val="24"/>
              </w:rPr>
              <w:t>。本区埋深105m以上，地下水总储量为12.153亿。枯水年地下水可调节资源为1.2113亿m</w:t>
            </w:r>
            <w:r>
              <w:rPr>
                <w:rFonts w:ascii="Times New Roman" w:hAnsi="Times New Roman" w:cs="Times New Roman"/>
                <w:sz w:val="24"/>
                <w:szCs w:val="24"/>
                <w:vertAlign w:val="superscript"/>
              </w:rPr>
              <w:t>3</w:t>
            </w:r>
            <w:r>
              <w:rPr>
                <w:rFonts w:ascii="Times New Roman" w:hAnsi="Times New Roman" w:cs="Times New Roman"/>
                <w:sz w:val="24"/>
                <w:szCs w:val="24"/>
              </w:rPr>
              <w:t>/a。</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7</w:t>
            </w:r>
            <w:r>
              <w:rPr>
                <w:rFonts w:hint="eastAsia" w:ascii="Times New Roman" w:hAnsi="Times New Roman" w:cs="Times New Roman"/>
                <w:b/>
                <w:sz w:val="24"/>
                <w:szCs w:val="24"/>
              </w:rPr>
              <w:t>、</w:t>
            </w:r>
            <w:r>
              <w:rPr>
                <w:rFonts w:ascii="Times New Roman" w:hAnsi="Times New Roman" w:cs="Times New Roman"/>
                <w:b/>
                <w:sz w:val="24"/>
                <w:szCs w:val="24"/>
              </w:rPr>
              <w:t>水源地</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1)县城水源地</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根据代县饮用水源地划分技术报告，代县县城共有集中式饮用水水源地2处，分别为城区水源地和苏村后备水源地。城区水源地共有水源井4座，一级保护区面积0.363km</w:t>
            </w:r>
            <w:r>
              <w:rPr>
                <w:rFonts w:ascii="Times New Roman" w:hAnsi="Times New Roman" w:cs="Times New Roman"/>
                <w:sz w:val="24"/>
                <w:szCs w:val="24"/>
                <w:vertAlign w:val="superscript"/>
              </w:rPr>
              <w:t>2</w:t>
            </w:r>
            <w:r>
              <w:rPr>
                <w:rFonts w:ascii="Times New Roman" w:hAnsi="Times New Roman" w:cs="Times New Roman"/>
                <w:sz w:val="24"/>
                <w:szCs w:val="24"/>
              </w:rPr>
              <w:t>；苏村后备水源地共有水源井8座，一级保护区面积0.94km</w:t>
            </w:r>
            <w:r>
              <w:rPr>
                <w:rFonts w:ascii="Times New Roman" w:hAnsi="Times New Roman" w:cs="Times New Roman"/>
                <w:sz w:val="24"/>
                <w:szCs w:val="24"/>
                <w:vertAlign w:val="superscript"/>
              </w:rPr>
              <w:t>2</w:t>
            </w:r>
            <w:r>
              <w:rPr>
                <w:rFonts w:ascii="Times New Roman" w:hAnsi="Times New Roman" w:cs="Times New Roman"/>
                <w:sz w:val="24"/>
                <w:szCs w:val="24"/>
              </w:rPr>
              <w:t>，本项目距离代县</w:t>
            </w:r>
            <w:r>
              <w:rPr>
                <w:rFonts w:hint="eastAsia" w:ascii="Times New Roman" w:hAnsi="Times New Roman" w:cs="Times New Roman"/>
                <w:sz w:val="24"/>
                <w:szCs w:val="24"/>
              </w:rPr>
              <w:t>县城4#水井，距离约为10km，不在水源地一级保护范围内</w:t>
            </w:r>
            <w:r>
              <w:rPr>
                <w:rFonts w:ascii="Times New Roman" w:hAnsi="Times New Roman" w:cs="Times New Roman"/>
                <w:sz w:val="24"/>
                <w:szCs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2)乡镇集中供水水源地</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全县下辖6镇5乡，乡镇集中式供水水源均为地下型水源，供水井地下水类型为孔隙承压水与孔隙潜水。全县所辖11个乡镇中，上馆镇为城镇集中供水，已完成水源保护区划分工作作，聂营镇供水方式为分散供水。其余9个乡镇均属集中供水，为本次水源地保护工作的重点。</w:t>
            </w:r>
          </w:p>
          <w:p>
            <w:pPr>
              <w:widowControl/>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采用集中供水的9个乡镇均设有集中供水工程，均为地下水型水源地。其中，峨口镇有供水井6眼，峪口乡有供水井2眼，其余7个乡镇各有供水井1眼。供水水源地基本情况调查见表2-1。</w:t>
            </w:r>
          </w:p>
          <w:p>
            <w:pPr>
              <w:spacing w:line="500" w:lineRule="exact"/>
              <w:ind w:firstLine="422" w:firstLineChars="200"/>
              <w:jc w:val="center"/>
              <w:rPr>
                <w:rFonts w:ascii="Times New Roman" w:hAnsi="Times New Roman" w:cs="Times New Roman"/>
                <w:b/>
                <w:szCs w:val="21"/>
              </w:rPr>
            </w:pPr>
            <w:r>
              <w:rPr>
                <w:rFonts w:ascii="Times New Roman" w:hAnsi="Times New Roman" w:cs="Times New Roman"/>
                <w:b/>
                <w:szCs w:val="21"/>
              </w:rPr>
              <w:t>表2-1代县乡镇供水情况统计表</w:t>
            </w:r>
          </w:p>
          <w:tbl>
            <w:tblPr>
              <w:tblStyle w:val="40"/>
              <w:tblW w:w="907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119"/>
              <w:gridCol w:w="2083"/>
              <w:gridCol w:w="1578"/>
              <w:gridCol w:w="1580"/>
              <w:gridCol w:w="198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序号</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乡镇</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水源地含水层类型</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水源地个数</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水源井个数</w:t>
                  </w:r>
                </w:p>
              </w:tc>
              <w:tc>
                <w:tcPr>
                  <w:tcW w:w="198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上馆镇</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2</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12</w:t>
                  </w:r>
                </w:p>
              </w:tc>
              <w:tc>
                <w:tcPr>
                  <w:tcW w:w="198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1个为规划水源</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2</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阳明堡镇</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981"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乡镇集中</w:t>
                  </w:r>
                </w:p>
                <w:p>
                  <w:pPr>
                    <w:jc w:val="center"/>
                    <w:rPr>
                      <w:rFonts w:ascii="Times New Roman" w:hAnsi="Times New Roman" w:cs="Times New Roman"/>
                      <w:szCs w:val="21"/>
                    </w:rPr>
                  </w:pPr>
                  <w:r>
                    <w:rPr>
                      <w:rFonts w:ascii="Times New Roman" w:hAnsi="Times New Roman" w:cs="Times New Roman"/>
                      <w:szCs w:val="21"/>
                    </w:rPr>
                    <w:t>供水水源地</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3</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峨口镇</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6</w:t>
                  </w:r>
                </w:p>
              </w:tc>
              <w:tc>
                <w:tcPr>
                  <w:tcW w:w="1981" w:type="dxa"/>
                  <w:vMerge w:val="continue"/>
                  <w:tcBorders>
                    <w:tl2br w:val="nil"/>
                    <w:tr2bl w:val="nil"/>
                  </w:tcBorders>
                  <w:vAlign w:val="center"/>
                </w:tcPr>
                <w:p>
                  <w:pPr>
                    <w:ind w:firstLine="420" w:firstLineChars="20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4</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枣林镇</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981" w:type="dxa"/>
                  <w:vMerge w:val="continue"/>
                  <w:tcBorders>
                    <w:tl2br w:val="nil"/>
                    <w:tr2bl w:val="nil"/>
                  </w:tcBorders>
                  <w:vAlign w:val="center"/>
                </w:tcPr>
                <w:p>
                  <w:pPr>
                    <w:ind w:firstLine="420" w:firstLineChars="20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5</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滩上镇</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孔隙潜水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981" w:type="dxa"/>
                  <w:vMerge w:val="continue"/>
                  <w:tcBorders>
                    <w:tl2br w:val="nil"/>
                    <w:tr2bl w:val="nil"/>
                  </w:tcBorders>
                  <w:vAlign w:val="center"/>
                </w:tcPr>
                <w:p>
                  <w:pPr>
                    <w:ind w:firstLine="420" w:firstLineChars="20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6</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新高乡</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981" w:type="dxa"/>
                  <w:vMerge w:val="continue"/>
                  <w:tcBorders>
                    <w:tl2br w:val="nil"/>
                    <w:tr2bl w:val="nil"/>
                  </w:tcBorders>
                  <w:vAlign w:val="center"/>
                </w:tcPr>
                <w:p>
                  <w:pPr>
                    <w:ind w:firstLine="420" w:firstLineChars="20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7</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峪口乡</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2</w:t>
                  </w:r>
                </w:p>
              </w:tc>
              <w:tc>
                <w:tcPr>
                  <w:tcW w:w="1981" w:type="dxa"/>
                  <w:vMerge w:val="continue"/>
                  <w:tcBorders>
                    <w:tl2br w:val="nil"/>
                    <w:tr2bl w:val="nil"/>
                  </w:tcBorders>
                  <w:vAlign w:val="center"/>
                </w:tcPr>
                <w:p>
                  <w:pPr>
                    <w:ind w:firstLine="420" w:firstLineChars="20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8</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磨坊乡</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981" w:type="dxa"/>
                  <w:vMerge w:val="continue"/>
                  <w:tcBorders>
                    <w:tl2br w:val="nil"/>
                    <w:tr2bl w:val="nil"/>
                  </w:tcBorders>
                  <w:vAlign w:val="center"/>
                </w:tcPr>
                <w:p>
                  <w:pPr>
                    <w:ind w:firstLine="420" w:firstLineChars="20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9</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胡峪乡</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981" w:type="dxa"/>
                  <w:vMerge w:val="continue"/>
                  <w:tcBorders>
                    <w:tl2br w:val="nil"/>
                    <w:tr2bl w:val="nil"/>
                  </w:tcBorders>
                  <w:vAlign w:val="center"/>
                </w:tcPr>
                <w:p>
                  <w:pPr>
                    <w:ind w:firstLine="420" w:firstLineChars="20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10</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雁门关</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孔隙承压水</w:t>
                  </w:r>
                </w:p>
              </w:tc>
              <w:tc>
                <w:tcPr>
                  <w:tcW w:w="1578"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580"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w:t>
                  </w:r>
                </w:p>
              </w:tc>
              <w:tc>
                <w:tcPr>
                  <w:tcW w:w="1981" w:type="dxa"/>
                  <w:vMerge w:val="continue"/>
                  <w:tcBorders>
                    <w:tl2br w:val="nil"/>
                    <w:tr2bl w:val="nil"/>
                  </w:tcBorders>
                  <w:vAlign w:val="center"/>
                </w:tcPr>
                <w:p>
                  <w:pPr>
                    <w:ind w:firstLine="420" w:firstLineChars="20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11</w:t>
                  </w:r>
                </w:p>
              </w:tc>
              <w:tc>
                <w:tcPr>
                  <w:tcW w:w="1119"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聂营镇</w:t>
                  </w:r>
                </w:p>
              </w:tc>
              <w:tc>
                <w:tcPr>
                  <w:tcW w:w="2083" w:type="dxa"/>
                  <w:tcBorders>
                    <w:tl2br w:val="nil"/>
                    <w:tr2bl w:val="nil"/>
                  </w:tcBorders>
                  <w:vAlign w:val="center"/>
                </w:tcPr>
                <w:p>
                  <w:pPr>
                    <w:adjustRightInd w:val="0"/>
                    <w:jc w:val="center"/>
                    <w:rPr>
                      <w:rFonts w:ascii="Times New Roman" w:hAnsi="Times New Roman" w:cs="Times New Roman"/>
                      <w:szCs w:val="21"/>
                    </w:rPr>
                  </w:pPr>
                  <w:r>
                    <w:rPr>
                      <w:rFonts w:ascii="Times New Roman" w:hAnsi="Times New Roman" w:cs="Times New Roman"/>
                      <w:szCs w:val="21"/>
                    </w:rPr>
                    <w:t>孔隙潜水</w:t>
                  </w:r>
                </w:p>
              </w:tc>
              <w:tc>
                <w:tcPr>
                  <w:tcW w:w="1578" w:type="dxa"/>
                  <w:tcBorders>
                    <w:tl2br w:val="nil"/>
                    <w:tr2bl w:val="nil"/>
                  </w:tcBorders>
                  <w:vAlign w:val="center"/>
                </w:tcPr>
                <w:p>
                  <w:pPr>
                    <w:adjustRightInd w:val="0"/>
                    <w:jc w:val="center"/>
                    <w:rPr>
                      <w:rFonts w:ascii="Times New Roman" w:hAnsi="Times New Roman" w:cs="Times New Roman"/>
                      <w:szCs w:val="21"/>
                    </w:rPr>
                  </w:pPr>
                </w:p>
              </w:tc>
              <w:tc>
                <w:tcPr>
                  <w:tcW w:w="1580" w:type="dxa"/>
                  <w:tcBorders>
                    <w:tl2br w:val="nil"/>
                    <w:tr2bl w:val="nil"/>
                  </w:tcBorders>
                  <w:vAlign w:val="center"/>
                </w:tcPr>
                <w:p>
                  <w:pPr>
                    <w:adjustRightInd w:val="0"/>
                    <w:jc w:val="center"/>
                    <w:rPr>
                      <w:rFonts w:ascii="Times New Roman" w:hAnsi="Times New Roman" w:cs="Times New Roman"/>
                      <w:szCs w:val="21"/>
                    </w:rPr>
                  </w:pPr>
                </w:p>
              </w:tc>
              <w:tc>
                <w:tcPr>
                  <w:tcW w:w="198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分散供水</w:t>
                  </w:r>
                </w:p>
              </w:tc>
            </w:tr>
          </w:tbl>
          <w:p>
            <w:pPr>
              <w:widowControl/>
              <w:spacing w:line="500" w:lineRule="exact"/>
              <w:ind w:firstLine="480" w:firstLineChars="200"/>
              <w:rPr>
                <w:rFonts w:ascii="Times New Roman" w:hAnsi="Times New Roman" w:cs="Times New Roman"/>
                <w:sz w:val="24"/>
                <w:szCs w:val="24"/>
              </w:rPr>
            </w:pPr>
            <w:r>
              <w:rPr>
                <w:rFonts w:ascii="Times New Roman" w:hAnsi="Times New Roman" w:cs="Times New Roman"/>
                <w:sz w:val="24"/>
              </w:rPr>
              <w:t>本项目附近的水源地为</w:t>
            </w:r>
            <w:r>
              <w:rPr>
                <w:rFonts w:hint="eastAsia" w:ascii="Times New Roman" w:hAnsi="Times New Roman" w:cs="Times New Roman"/>
                <w:sz w:val="24"/>
              </w:rPr>
              <w:t>阳明堡镇</w:t>
            </w:r>
            <w:r>
              <w:rPr>
                <w:rFonts w:ascii="Times New Roman" w:hAnsi="Times New Roman" w:cs="Times New Roman"/>
                <w:sz w:val="24"/>
              </w:rPr>
              <w:t>集中供水水源地</w:t>
            </w:r>
            <w:r>
              <w:rPr>
                <w:rFonts w:hint="eastAsia" w:ascii="Times New Roman" w:hAnsi="Times New Roman" w:cs="Times New Roman"/>
                <w:sz w:val="24"/>
              </w:rPr>
              <w:t>和新高乡集中供水水源地</w:t>
            </w:r>
            <w:r>
              <w:rPr>
                <w:rFonts w:ascii="Times New Roman" w:hAnsi="Times New Roman" w:cs="Times New Roman"/>
                <w:sz w:val="24"/>
              </w:rPr>
              <w:t>。</w:t>
            </w:r>
            <w:r>
              <w:rPr>
                <w:rFonts w:hint="eastAsia" w:ascii="Times New Roman" w:hAnsi="Times New Roman" w:cs="Times New Roman"/>
                <w:sz w:val="24"/>
              </w:rPr>
              <w:t>阳明堡镇</w:t>
            </w:r>
            <w:r>
              <w:rPr>
                <w:rFonts w:ascii="Times New Roman" w:hAnsi="Times New Roman" w:cs="Times New Roman"/>
                <w:sz w:val="24"/>
              </w:rPr>
              <w:t>集中供水水源地共设</w:t>
            </w:r>
            <w:r>
              <w:rPr>
                <w:rFonts w:hint="eastAsia" w:ascii="Times New Roman" w:hAnsi="Times New Roman" w:cs="Times New Roman"/>
                <w:sz w:val="24"/>
              </w:rPr>
              <w:t>1</w:t>
            </w:r>
            <w:r>
              <w:rPr>
                <w:rFonts w:ascii="Times New Roman" w:hAnsi="Times New Roman" w:cs="Times New Roman"/>
                <w:sz w:val="24"/>
              </w:rPr>
              <w:t>个取水井，</w:t>
            </w:r>
            <w:r>
              <w:rPr>
                <w:rFonts w:hint="eastAsia" w:ascii="Times New Roman" w:hAnsi="Times New Roman" w:cs="Times New Roman"/>
                <w:sz w:val="24"/>
              </w:rPr>
              <w:t>本项目距其水井约为5.5km</w:t>
            </w:r>
            <w:r>
              <w:rPr>
                <w:rFonts w:ascii="Times New Roman" w:hAnsi="Times New Roman" w:cs="Times New Roman"/>
                <w:sz w:val="24"/>
              </w:rPr>
              <w:t>。该取水井一级保护区范围以井为中心，半径R为170m的圆形区域为边界，保护区面积共计0.091km</w:t>
            </w:r>
            <w:r>
              <w:rPr>
                <w:rFonts w:ascii="Times New Roman" w:hAnsi="Times New Roman" w:cs="Times New Roman"/>
                <w:sz w:val="24"/>
                <w:vertAlign w:val="superscript"/>
              </w:rPr>
              <w:t>2</w:t>
            </w:r>
            <w:r>
              <w:rPr>
                <w:rFonts w:ascii="Times New Roman" w:hAnsi="Times New Roman" w:cs="Times New Roman"/>
                <w:sz w:val="24"/>
              </w:rPr>
              <w:t>，未划定二级保护区</w:t>
            </w:r>
            <w:r>
              <w:rPr>
                <w:rFonts w:hint="eastAsia" w:ascii="Times New Roman" w:hAnsi="Times New Roman" w:cs="Times New Roman"/>
                <w:sz w:val="24"/>
              </w:rPr>
              <w:t>，</w:t>
            </w:r>
            <w:r>
              <w:rPr>
                <w:rFonts w:ascii="Times New Roman" w:hAnsi="Times New Roman" w:cs="Times New Roman"/>
                <w:sz w:val="24"/>
              </w:rPr>
              <w:t>本项目不在其保护区范围内</w:t>
            </w:r>
            <w:r>
              <w:rPr>
                <w:rFonts w:hint="eastAsia" w:ascii="Times New Roman" w:hAnsi="Times New Roman" w:cs="Times New Roman"/>
                <w:sz w:val="24"/>
              </w:rPr>
              <w:t>；新高乡</w:t>
            </w:r>
            <w:r>
              <w:rPr>
                <w:rFonts w:ascii="Times New Roman" w:hAnsi="Times New Roman" w:cs="Times New Roman"/>
                <w:sz w:val="24"/>
              </w:rPr>
              <w:t>集中供水水源地共设</w:t>
            </w:r>
            <w:r>
              <w:rPr>
                <w:rFonts w:hint="eastAsia" w:ascii="Times New Roman" w:hAnsi="Times New Roman" w:cs="Times New Roman"/>
                <w:sz w:val="24"/>
              </w:rPr>
              <w:t>1</w:t>
            </w:r>
            <w:r>
              <w:rPr>
                <w:rFonts w:ascii="Times New Roman" w:hAnsi="Times New Roman" w:cs="Times New Roman"/>
                <w:sz w:val="24"/>
              </w:rPr>
              <w:t>个取水井，</w:t>
            </w:r>
            <w:r>
              <w:rPr>
                <w:rFonts w:hint="eastAsia" w:ascii="Times New Roman" w:hAnsi="Times New Roman" w:cs="Times New Roman"/>
                <w:sz w:val="24"/>
              </w:rPr>
              <w:t>本项目距其水井约为7.4km</w:t>
            </w:r>
            <w:r>
              <w:rPr>
                <w:rFonts w:ascii="Times New Roman" w:hAnsi="Times New Roman" w:cs="Times New Roman"/>
                <w:sz w:val="24"/>
              </w:rPr>
              <w:t>。该取水井一级保护区范围以井为中心，半径R为170m的圆形区域为边界，保护区面积共计0.091km</w:t>
            </w:r>
            <w:r>
              <w:rPr>
                <w:rFonts w:ascii="Times New Roman" w:hAnsi="Times New Roman" w:cs="Times New Roman"/>
                <w:sz w:val="24"/>
                <w:vertAlign w:val="superscript"/>
              </w:rPr>
              <w:t>2</w:t>
            </w:r>
            <w:r>
              <w:rPr>
                <w:rFonts w:ascii="Times New Roman" w:hAnsi="Times New Roman" w:cs="Times New Roman"/>
                <w:sz w:val="24"/>
              </w:rPr>
              <w:t>，未划定二级保护区</w:t>
            </w:r>
            <w:r>
              <w:rPr>
                <w:rFonts w:hint="eastAsia" w:ascii="Times New Roman" w:hAnsi="Times New Roman" w:cs="Times New Roman"/>
                <w:sz w:val="24"/>
              </w:rPr>
              <w:t>，</w:t>
            </w:r>
            <w:r>
              <w:rPr>
                <w:rFonts w:ascii="Times New Roman" w:hAnsi="Times New Roman" w:cs="Times New Roman"/>
                <w:sz w:val="24"/>
              </w:rPr>
              <w:t>本项目不在其保护区范围内</w:t>
            </w:r>
            <w:r>
              <w:rPr>
                <w:rFonts w:hint="eastAsia" w:ascii="Times New Roman" w:hAnsi="Times New Roman" w:cs="Times New Roman"/>
                <w:sz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项目与水源地关系图见附图</w:t>
            </w:r>
            <w:r>
              <w:rPr>
                <w:rFonts w:hint="eastAsia" w:ascii="Times New Roman" w:hAnsi="Times New Roman" w:cs="Times New Roman"/>
                <w:sz w:val="24"/>
                <w:szCs w:val="24"/>
              </w:rPr>
              <w:t>5</w:t>
            </w:r>
            <w:r>
              <w:rPr>
                <w:rFonts w:ascii="Times New Roman" w:hAnsi="Times New Roman" w:cs="Times New Roman"/>
                <w:sz w:val="24"/>
                <w:szCs w:val="24"/>
              </w:rPr>
              <w:t>。</w:t>
            </w:r>
          </w:p>
          <w:p>
            <w:pPr>
              <w:pStyle w:val="2"/>
              <w:spacing w:line="500" w:lineRule="exact"/>
              <w:ind w:firstLine="482" w:firstLineChars="200"/>
              <w:jc w:val="both"/>
              <w:rPr>
                <w:rFonts w:ascii="Times New Roman" w:cs="Times New Roman" w:eastAsiaTheme="minorEastAsia"/>
                <w:b/>
              </w:rPr>
            </w:pPr>
            <w:r>
              <w:rPr>
                <w:rFonts w:ascii="Times New Roman" w:cs="Times New Roman" w:eastAsiaTheme="minorEastAsia"/>
                <w:b/>
              </w:rPr>
              <w:t>8</w:t>
            </w:r>
            <w:r>
              <w:rPr>
                <w:rFonts w:hint="eastAsia" w:ascii="Times New Roman" w:cs="Times New Roman" w:eastAsiaTheme="minorEastAsia"/>
                <w:b/>
              </w:rPr>
              <w:t>、</w:t>
            </w:r>
            <w:r>
              <w:rPr>
                <w:rFonts w:ascii="Times New Roman" w:cs="Times New Roman" w:eastAsiaTheme="minorEastAsia"/>
                <w:b/>
              </w:rPr>
              <w:t>地震烈度</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根据山西省地震局颁布的《山西省地震基本烈度区划图》可知，本区地震烈度为Ⅶ度。</w:t>
            </w:r>
          </w:p>
          <w:p>
            <w:pPr>
              <w:pStyle w:val="2"/>
              <w:spacing w:line="500" w:lineRule="exact"/>
              <w:ind w:firstLine="482" w:firstLineChars="200"/>
              <w:jc w:val="both"/>
              <w:rPr>
                <w:rFonts w:ascii="Times New Roman" w:cs="Times New Roman" w:eastAsiaTheme="minorEastAsia"/>
                <w:b/>
              </w:rPr>
            </w:pPr>
            <w:r>
              <w:rPr>
                <w:rFonts w:ascii="Times New Roman" w:cs="Times New Roman" w:eastAsiaTheme="minorEastAsia"/>
                <w:b/>
              </w:rPr>
              <w:t>9</w:t>
            </w:r>
            <w:r>
              <w:rPr>
                <w:rFonts w:hint="eastAsia" w:ascii="Times New Roman" w:cs="Times New Roman" w:eastAsiaTheme="minorEastAsia"/>
                <w:b/>
              </w:rPr>
              <w:t>、</w:t>
            </w:r>
            <w:r>
              <w:rPr>
                <w:rFonts w:ascii="Times New Roman" w:cs="Times New Roman" w:eastAsiaTheme="minorEastAsia"/>
                <w:b/>
              </w:rPr>
              <w:t>土壤</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全县共有土地254.4万亩，其中农用地82.56万亩，含耕地43.47万亩，林地33.77万亩，园地2.96万亩，天然草地2.3630万亩；建设用地8.51万亩；水域占地14.88万亩；未利用土地147.73万亩，含荒草地、裸岩、田坎、盐碱地、宜林荒山荒地；其它用地0.31万亩。根据代县土壤普查资料，代县土壤分布着褐土、草甸土、水稻土、山地草甸土、山地棕壤、栗钙土、盐土共7个土类，61个土种。</w:t>
            </w:r>
          </w:p>
          <w:p>
            <w:pPr>
              <w:pStyle w:val="2"/>
              <w:spacing w:line="500" w:lineRule="exact"/>
              <w:ind w:firstLine="482" w:firstLineChars="200"/>
              <w:jc w:val="both"/>
              <w:rPr>
                <w:rFonts w:ascii="Times New Roman" w:cs="Times New Roman" w:eastAsiaTheme="minorEastAsia"/>
                <w:b/>
              </w:rPr>
            </w:pPr>
            <w:r>
              <w:rPr>
                <w:rFonts w:ascii="Times New Roman" w:cs="Times New Roman" w:eastAsiaTheme="minorEastAsia"/>
                <w:b/>
              </w:rPr>
              <w:t>10</w:t>
            </w:r>
            <w:r>
              <w:rPr>
                <w:rFonts w:hint="eastAsia" w:ascii="Times New Roman" w:cs="Times New Roman" w:eastAsiaTheme="minorEastAsia"/>
                <w:b/>
              </w:rPr>
              <w:t>、</w:t>
            </w:r>
            <w:r>
              <w:rPr>
                <w:rFonts w:ascii="Times New Roman" w:cs="Times New Roman" w:eastAsiaTheme="minorEastAsia"/>
                <w:b/>
              </w:rPr>
              <w:t>植被</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全县宜林面积83万亩，主要集中地山区，现有林地面积38万亩，森林覆盖率14.73%，木材蓄积量6.23万m</w:t>
            </w:r>
            <w:r>
              <w:rPr>
                <w:rFonts w:ascii="Times New Roman" w:hAnsi="Times New Roman" w:cs="Times New Roman"/>
                <w:sz w:val="24"/>
                <w:szCs w:val="24"/>
                <w:vertAlign w:val="superscript"/>
              </w:rPr>
              <w:t>3</w:t>
            </w:r>
            <w:r>
              <w:rPr>
                <w:rFonts w:ascii="Times New Roman" w:hAnsi="Times New Roman" w:cs="Times New Roman"/>
                <w:sz w:val="24"/>
                <w:szCs w:val="24"/>
              </w:rPr>
              <w:t>，主要树种山区为松、杉、桦等针阔混交林，丘陵为槐、椿及苹果、梨、枣、杏等经济林，平川为杨、柳、榆等四旁绿化树种。</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经现场调查，项目所在区域主要自然植被为荆条、胡枝子、铁杆蒿、披碱草等，经济作物有桃核等，主要农作物为玉米，区域植被覆盖率一般。</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本项目拟建厂址区域未发现有保护物种分布。</w:t>
            </w:r>
          </w:p>
          <w:p>
            <w:pPr>
              <w:pStyle w:val="2"/>
              <w:spacing w:line="500" w:lineRule="exact"/>
              <w:ind w:firstLine="482" w:firstLineChars="200"/>
              <w:jc w:val="both"/>
              <w:rPr>
                <w:rFonts w:ascii="Times New Roman" w:cs="Times New Roman" w:eastAsiaTheme="minorEastAsia"/>
                <w:b/>
              </w:rPr>
            </w:pPr>
            <w:r>
              <w:rPr>
                <w:rFonts w:ascii="Times New Roman" w:cs="Times New Roman" w:eastAsiaTheme="minorEastAsia"/>
                <w:b/>
              </w:rPr>
              <w:t>11</w:t>
            </w:r>
            <w:r>
              <w:rPr>
                <w:rFonts w:hint="eastAsia" w:ascii="Times New Roman" w:cs="Times New Roman" w:eastAsiaTheme="minorEastAsia"/>
                <w:b/>
              </w:rPr>
              <w:t>、</w:t>
            </w:r>
            <w:r>
              <w:rPr>
                <w:rFonts w:ascii="Times New Roman" w:cs="Times New Roman" w:eastAsiaTheme="minorEastAsia"/>
                <w:b/>
              </w:rPr>
              <w:t>动物资源</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野生动物资源有豹、狼等数十种。代县境内已发现陆栖动物70余种，其中鸟类39种，哺乳类19种、爬行类9种，两栖类6种。金雕为国家一级保护动物，分布在南山滩一带林地；黑鹳、灰鹤为国家二级保护动物，分布在上、新高一带；秃鹫为国家二级保护动物，一般分布于河流周边。</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评价区陆生动物以啮齿类动物为主，如鼠类、野兔等，大型动物很少，无国家重点保护物种。</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12</w:t>
            </w:r>
            <w:r>
              <w:rPr>
                <w:rFonts w:hint="eastAsia" w:ascii="Times New Roman" w:hAnsi="Times New Roman" w:cs="Times New Roman"/>
                <w:b/>
                <w:sz w:val="24"/>
                <w:szCs w:val="24"/>
              </w:rPr>
              <w:t>、</w:t>
            </w:r>
            <w:r>
              <w:rPr>
                <w:rFonts w:ascii="Times New Roman" w:hAnsi="Times New Roman" w:cs="Times New Roman"/>
                <w:b/>
                <w:sz w:val="24"/>
                <w:szCs w:val="24"/>
              </w:rPr>
              <w:t>矿产资源</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矿产资源较为丰富，代县是铁矿生产大县，全县已探明的铁矿资源总储量为14.49亿吨，占全省已探明储量的42.8%，居全省第一；由8个矿床构成，其中大型矿床5个，中型矿床2个，小型矿床1个，分布于县境内山羊坪、板峪、黑山庄、白峪里、张仙堡、赵村一带。</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代县钛(金红石)矿远景储量2亿吨，储量位居全省第一，全国第二，其中碾子沟金红石矿是仅次于湖北枣阳的全国第二大矿。</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此外，代县境内的金矿、花岗岩、钾长石、石灰石、金、银、铜等储量都十分可观，极具开采价值。</w:t>
            </w:r>
          </w:p>
          <w:p>
            <w:pPr>
              <w:pStyle w:val="2"/>
              <w:spacing w:line="500" w:lineRule="exact"/>
              <w:ind w:firstLine="482" w:firstLineChars="200"/>
              <w:jc w:val="both"/>
              <w:rPr>
                <w:rFonts w:ascii="Times New Roman" w:cs="Times New Roman" w:eastAsiaTheme="minorEastAsia"/>
                <w:b/>
              </w:rPr>
            </w:pPr>
            <w:r>
              <w:rPr>
                <w:rFonts w:ascii="Times New Roman" w:cs="Times New Roman" w:eastAsiaTheme="minorEastAsia"/>
                <w:b/>
              </w:rPr>
              <w:t>13</w:t>
            </w:r>
            <w:r>
              <w:rPr>
                <w:rFonts w:hint="eastAsia" w:ascii="Times New Roman" w:cs="Times New Roman" w:eastAsiaTheme="minorEastAsia"/>
                <w:b/>
              </w:rPr>
              <w:t>、</w:t>
            </w:r>
            <w:r>
              <w:rPr>
                <w:rFonts w:ascii="Times New Roman" w:cs="Times New Roman" w:eastAsiaTheme="minorEastAsia"/>
                <w:b/>
              </w:rPr>
              <w:t>代县生态功能区划</w:t>
            </w:r>
          </w:p>
          <w:p>
            <w:pPr>
              <w:adjustRightInd w:val="0"/>
              <w:snapToGrid w:val="0"/>
              <w:spacing w:line="500" w:lineRule="exact"/>
              <w:ind w:firstLine="556"/>
              <w:rPr>
                <w:rFonts w:ascii="Times New Roman" w:hAnsi="Times New Roman" w:cs="Times New Roman"/>
                <w:sz w:val="24"/>
                <w:szCs w:val="24"/>
              </w:rPr>
            </w:pPr>
            <w:r>
              <w:rPr>
                <w:rFonts w:ascii="Times New Roman" w:hAnsi="Times New Roman" w:cs="Times New Roman"/>
                <w:sz w:val="24"/>
                <w:szCs w:val="24"/>
              </w:rPr>
              <w:t>代县生态功能区划分区系统分为两个等级，首先在忻州市二级生态功能区划基础上确定本区所属的生态功能亚区；然后根据代县地形、地貌、行政区划、土地利用现状、生态环境敏感性、生态服务功能类型划分为9个生态功能小区。</w:t>
            </w:r>
          </w:p>
          <w:p>
            <w:pPr>
              <w:adjustRightInd w:val="0"/>
              <w:snapToGrid w:val="0"/>
              <w:spacing w:line="500" w:lineRule="exact"/>
              <w:ind w:firstLine="556"/>
              <w:rPr>
                <w:rFonts w:ascii="Times New Roman" w:hAnsi="Times New Roman" w:cs="Times New Roman"/>
                <w:sz w:val="24"/>
                <w:szCs w:val="24"/>
              </w:rPr>
            </w:pPr>
            <w:r>
              <w:rPr>
                <w:rFonts w:ascii="Times New Roman" w:hAnsi="Times New Roman" w:cs="Times New Roman"/>
                <w:sz w:val="24"/>
                <w:szCs w:val="24"/>
              </w:rPr>
              <w:t>本项目位于</w:t>
            </w:r>
            <w:r>
              <w:rPr>
                <w:rFonts w:hint="eastAsia" w:ascii="宋体" w:hAnsi="宋体" w:eastAsia="宋体" w:cs="宋体"/>
                <w:sz w:val="24"/>
                <w:szCs w:val="24"/>
              </w:rPr>
              <w:t>Ⅱ</w:t>
            </w:r>
            <w:r>
              <w:rPr>
                <w:rFonts w:hint="eastAsia" w:ascii="Times New Roman" w:hAnsi="Times New Roman" w:eastAsia="宋体" w:cs="Times New Roman"/>
                <w:sz w:val="24"/>
                <w:szCs w:val="24"/>
              </w:rPr>
              <w:t>C代县南部中解河流域土壤保持生态功能小区</w:t>
            </w:r>
            <w:r>
              <w:rPr>
                <w:rFonts w:ascii="Times New Roman" w:hAnsi="Times New Roman" w:cs="Times New Roman"/>
                <w:sz w:val="24"/>
                <w:szCs w:val="24"/>
              </w:rPr>
              <w:t>，该区主要生态系统服务功能为土壤保持；主要生态环境问题是①该区域的生态环境结构比较单―，主要为农田生态系统，造成了该区域生态环境结构不稳定，抵御自然灾害和生态破坏的能力比较弱；②由于该区域地处代县的平原地区，且周围多是农田区域，不合理的使用农药，化肥对居民饮用水安全和滹沱河区域水质产生了一定的威胁。</w:t>
            </w:r>
          </w:p>
          <w:p>
            <w:pPr>
              <w:adjustRightInd w:val="0"/>
              <w:snapToGrid w:val="0"/>
              <w:spacing w:line="500" w:lineRule="exact"/>
              <w:ind w:firstLine="556"/>
              <w:rPr>
                <w:rFonts w:ascii="Times New Roman" w:hAnsi="Times New Roman" w:cs="Times New Roman"/>
                <w:sz w:val="24"/>
                <w:szCs w:val="24"/>
              </w:rPr>
            </w:pPr>
            <w:r>
              <w:rPr>
                <w:rFonts w:ascii="Times New Roman" w:hAnsi="Times New Roman" w:cs="Times New Roman"/>
                <w:sz w:val="24"/>
                <w:szCs w:val="24"/>
              </w:rPr>
              <w:t>保护措施：①大力发展绿色农业，改变传统的靠农药，化肥高农作物产量的做法，大力发展生态农业，发展生态农业不仅可以減少农业面源对居民饮用水的危害，而且可以增加该区域的生态结构稳定性，提高抵御生态破坏的能力；②减少农药化肥的使用置，推广生物农药和农家肥，提高土壤有机质的保有量，并推广生态农业技术，提高农作物产量。</w:t>
            </w:r>
          </w:p>
          <w:p>
            <w:pPr>
              <w:adjustRightInd w:val="0"/>
              <w:snapToGrid w:val="0"/>
              <w:spacing w:line="500" w:lineRule="exact"/>
              <w:ind w:firstLine="556"/>
              <w:rPr>
                <w:rFonts w:ascii="Times New Roman" w:hAnsi="Times New Roman" w:cs="Times New Roman"/>
                <w:sz w:val="24"/>
                <w:szCs w:val="24"/>
              </w:rPr>
            </w:pPr>
            <w:r>
              <w:rPr>
                <w:rFonts w:ascii="Times New Roman" w:hAnsi="Times New Roman" w:cs="Times New Roman"/>
                <w:sz w:val="24"/>
                <w:szCs w:val="24"/>
              </w:rPr>
              <w:t>发展方向：建立生态农生基地和农业循环经济基地，发展无公害、绿色和有机食品生产，促进农业向高产、优质、低耗能方向发展。</w:t>
            </w:r>
          </w:p>
          <w:p>
            <w:pPr>
              <w:adjustRightInd w:val="0"/>
              <w:snapToGrid w:val="0"/>
              <w:spacing w:line="500" w:lineRule="exact"/>
              <w:ind w:firstLine="556"/>
              <w:rPr>
                <w:rFonts w:ascii="Times New Roman" w:hAnsi="Times New Roman" w:cs="Times New Roman"/>
                <w:sz w:val="24"/>
                <w:szCs w:val="24"/>
              </w:rPr>
            </w:pPr>
            <w:r>
              <w:rPr>
                <w:rFonts w:ascii="Times New Roman" w:hAnsi="Times New Roman" w:cs="Times New Roman"/>
                <w:sz w:val="24"/>
                <w:szCs w:val="24"/>
              </w:rPr>
              <w:t>本项目</w:t>
            </w:r>
            <w:r>
              <w:rPr>
                <w:rFonts w:hint="eastAsia" w:ascii="Times New Roman" w:hAnsi="Times New Roman" w:cs="Times New Roman"/>
                <w:sz w:val="24"/>
                <w:szCs w:val="24"/>
              </w:rPr>
              <w:t>为石料加工</w:t>
            </w:r>
            <w:r>
              <w:rPr>
                <w:rFonts w:ascii="Times New Roman" w:hAnsi="Times New Roman" w:cs="Times New Roman"/>
                <w:sz w:val="24"/>
                <w:szCs w:val="24"/>
              </w:rPr>
              <w:t>项目，</w:t>
            </w:r>
            <w:r>
              <w:rPr>
                <w:rFonts w:hint="eastAsia" w:ascii="Times New Roman" w:hAnsi="Times New Roman" w:cs="Times New Roman"/>
                <w:sz w:val="24"/>
                <w:szCs w:val="24"/>
              </w:rPr>
              <w:t>要求企业加强厂区周边绿化，减少土壤流失，不影响农作物生长。严格按照环评要求环保措施执行，对生态影响较小，</w:t>
            </w:r>
            <w:r>
              <w:rPr>
                <w:rFonts w:ascii="Times New Roman" w:hAnsi="Times New Roman" w:cs="Times New Roman"/>
                <w:sz w:val="24"/>
                <w:szCs w:val="24"/>
              </w:rPr>
              <w:t>不违背</w:t>
            </w:r>
            <w:r>
              <w:rPr>
                <w:rFonts w:hint="eastAsia" w:ascii="宋体" w:hAnsi="宋体" w:eastAsia="宋体" w:cs="宋体"/>
                <w:sz w:val="24"/>
                <w:szCs w:val="24"/>
              </w:rPr>
              <w:t>Ⅱ</w:t>
            </w:r>
            <w:r>
              <w:rPr>
                <w:rFonts w:hint="eastAsia" w:ascii="Times New Roman" w:hAnsi="Times New Roman" w:eastAsia="宋体" w:cs="Times New Roman"/>
                <w:sz w:val="24"/>
                <w:szCs w:val="24"/>
              </w:rPr>
              <w:t>C代县南部中解河流域土壤保持生态功能小区要求</w:t>
            </w:r>
            <w:r>
              <w:rPr>
                <w:rFonts w:ascii="Times New Roman" w:hAnsi="Times New Roman" w:cs="Times New Roman"/>
                <w:sz w:val="24"/>
                <w:szCs w:val="24"/>
              </w:rPr>
              <w:t>。</w:t>
            </w:r>
          </w:p>
          <w:p>
            <w:pPr>
              <w:adjustRightInd w:val="0"/>
              <w:snapToGrid w:val="0"/>
              <w:spacing w:line="500" w:lineRule="exact"/>
              <w:ind w:firstLine="556"/>
              <w:rPr>
                <w:rFonts w:ascii="Times New Roman" w:hAnsi="Times New Roman" w:cs="Times New Roman"/>
                <w:sz w:val="24"/>
                <w:szCs w:val="24"/>
              </w:rPr>
            </w:pPr>
            <w:r>
              <w:rPr>
                <w:rFonts w:ascii="Times New Roman" w:hAnsi="Times New Roman" w:cs="Times New Roman"/>
                <w:sz w:val="24"/>
                <w:szCs w:val="24"/>
              </w:rPr>
              <w:t>代县生态功能区划图见附图</w:t>
            </w:r>
            <w:r>
              <w:rPr>
                <w:rFonts w:hint="eastAsia" w:ascii="Times New Roman" w:hAnsi="Times New Roman" w:cs="Times New Roman"/>
                <w:sz w:val="24"/>
                <w:szCs w:val="24"/>
              </w:rPr>
              <w:t>6</w:t>
            </w:r>
            <w:r>
              <w:rPr>
                <w:rFonts w:ascii="Times New Roman" w:hAnsi="Times New Roman" w:cs="Times New Roman"/>
                <w:sz w:val="24"/>
                <w:szCs w:val="24"/>
              </w:rPr>
              <w:t>。</w:t>
            </w:r>
          </w:p>
          <w:p>
            <w:pPr>
              <w:adjustRightInd w:val="0"/>
              <w:snapToGrid w:val="0"/>
              <w:spacing w:line="500" w:lineRule="exact"/>
              <w:ind w:firstLine="556"/>
              <w:rPr>
                <w:rFonts w:ascii="Times New Roman" w:hAnsi="Times New Roman" w:cs="Times New Roman"/>
                <w:sz w:val="24"/>
                <w:szCs w:val="24"/>
              </w:rPr>
            </w:pPr>
            <w:r>
              <w:rPr>
                <w:rFonts w:ascii="Times New Roman" w:hAnsi="Times New Roman" w:cs="Times New Roman"/>
                <w:b/>
                <w:sz w:val="24"/>
                <w:szCs w:val="24"/>
              </w:rPr>
              <w:t>14、代县生态经济区划</w:t>
            </w:r>
            <w:r>
              <w:rPr>
                <w:rFonts w:ascii="Times New Roman" w:hAnsi="Times New Roman" w:cs="Times New Roman"/>
                <w:sz w:val="24"/>
                <w:szCs w:val="24"/>
              </w:rPr>
              <w:t xml:space="preserve"> </w:t>
            </w:r>
          </w:p>
          <w:p>
            <w:pPr>
              <w:adjustRightInd w:val="0"/>
              <w:snapToGrid w:val="0"/>
              <w:spacing w:line="500" w:lineRule="exact"/>
              <w:ind w:firstLine="556"/>
              <w:rPr>
                <w:rFonts w:ascii="Times New Roman" w:hAnsi="Times New Roman" w:cs="Times New Roman"/>
                <w:sz w:val="24"/>
                <w:szCs w:val="24"/>
              </w:rPr>
            </w:pPr>
            <w:r>
              <w:rPr>
                <w:rFonts w:ascii="Times New Roman" w:hAnsi="Times New Roman" w:cs="Times New Roman"/>
                <w:sz w:val="24"/>
                <w:szCs w:val="24"/>
              </w:rPr>
              <w:t>本项目位于优化开发区中的</w:t>
            </w:r>
            <w:bookmarkStart w:id="1" w:name="_Toc186418853"/>
            <w:r>
              <w:rPr>
                <w:rFonts w:hint="eastAsia" w:ascii="Times New Roman" w:hAnsi="Times New Roman" w:cs="Times New Roman"/>
                <w:sz w:val="24"/>
                <w:szCs w:val="24"/>
              </w:rPr>
              <w:t>ⅣB-1峪河中解河流域矿产重工业生态经济区，属于重点开发区</w:t>
            </w:r>
            <w:r>
              <w:rPr>
                <w:rFonts w:ascii="Times New Roman" w:hAnsi="Times New Roman" w:cs="Times New Roman"/>
                <w:sz w:val="24"/>
                <w:szCs w:val="24"/>
              </w:rPr>
              <w:t>。</w:t>
            </w:r>
          </w:p>
          <w:bookmarkEnd w:id="1"/>
          <w:p>
            <w:pPr>
              <w:adjustRightInd w:val="0"/>
              <w:snapToGrid w:val="0"/>
              <w:spacing w:line="500" w:lineRule="exact"/>
              <w:ind w:firstLine="556"/>
              <w:rPr>
                <w:rFonts w:ascii="Times New Roman" w:hAnsi="Times New Roman" w:cs="Times New Roman"/>
                <w:sz w:val="24"/>
                <w:szCs w:val="24"/>
              </w:rPr>
            </w:pPr>
            <w:r>
              <w:rPr>
                <w:rFonts w:hint="eastAsia" w:ascii="Times New Roman" w:hAnsi="Times New Roman" w:cs="Times New Roman"/>
                <w:sz w:val="24"/>
                <w:szCs w:val="24"/>
              </w:rPr>
              <w:t>根据《代县生态经济区划》，全县共分为两个等级：一级分区是将区域划分为禁止开发区、限制开发区、优化开发区和重点开发区四类。二级分区是在一级分区的基础上，进一步将区域分为生态经济区。</w:t>
            </w:r>
          </w:p>
          <w:p>
            <w:pPr>
              <w:adjustRightInd w:val="0"/>
              <w:snapToGrid w:val="0"/>
              <w:spacing w:line="500" w:lineRule="exact"/>
              <w:ind w:firstLine="556"/>
              <w:rPr>
                <w:rFonts w:ascii="Times New Roman" w:hAnsi="Times New Roman" w:cs="Times New Roman"/>
                <w:sz w:val="24"/>
                <w:szCs w:val="24"/>
              </w:rPr>
            </w:pPr>
            <w:r>
              <w:rPr>
                <w:rFonts w:hint="eastAsia" w:ascii="Times New Roman" w:hAnsi="Times New Roman" w:cs="Times New Roman"/>
                <w:sz w:val="24"/>
                <w:szCs w:val="24"/>
              </w:rPr>
              <w:t>本项目为石料加工</w:t>
            </w:r>
            <w:r>
              <w:rPr>
                <w:rFonts w:ascii="Times New Roman" w:hAnsi="Times New Roman" w:cs="Times New Roman"/>
                <w:sz w:val="24"/>
                <w:szCs w:val="24"/>
              </w:rPr>
              <w:t>项目</w:t>
            </w:r>
            <w:r>
              <w:rPr>
                <w:rFonts w:hint="eastAsia" w:ascii="Times New Roman" w:hAnsi="Times New Roman" w:cs="Times New Roman"/>
                <w:sz w:val="24"/>
                <w:szCs w:val="24"/>
              </w:rPr>
              <w:t>，严格按照环评要求环保措施执行，对生态影响较小，</w:t>
            </w:r>
            <w:r>
              <w:rPr>
                <w:rFonts w:ascii="Times New Roman" w:hAnsi="Times New Roman" w:cs="Times New Roman"/>
                <w:sz w:val="24"/>
                <w:szCs w:val="24"/>
              </w:rPr>
              <w:t>不违背优化开发区中的</w:t>
            </w:r>
            <w:r>
              <w:rPr>
                <w:rFonts w:hint="eastAsia" w:ascii="Times New Roman" w:hAnsi="Times New Roman" w:cs="Times New Roman"/>
                <w:sz w:val="24"/>
                <w:szCs w:val="24"/>
              </w:rPr>
              <w:t>ⅣB-1峪河中解河流域矿产重工业生态经济区的要求</w:t>
            </w:r>
            <w:r>
              <w:rPr>
                <w:rFonts w:ascii="Times New Roman" w:hAnsi="Times New Roman" w:cs="Times New Roman"/>
                <w:sz w:val="24"/>
                <w:szCs w:val="24"/>
              </w:rPr>
              <w:t>。</w:t>
            </w:r>
          </w:p>
          <w:p>
            <w:pPr>
              <w:snapToGrid w:val="0"/>
              <w:spacing w:line="480" w:lineRule="exact"/>
              <w:rPr>
                <w:rFonts w:ascii="Times New Roman" w:hAnsi="Times New Roman" w:cs="Times New Roman"/>
                <w:sz w:val="24"/>
                <w:szCs w:val="24"/>
              </w:rPr>
            </w:pPr>
            <w:r>
              <w:rPr>
                <w:rFonts w:ascii="Times New Roman" w:hAnsi="Times New Roman" w:cs="Times New Roman"/>
                <w:sz w:val="24"/>
                <w:szCs w:val="24"/>
              </w:rPr>
              <w:t>代县生态经济区划见附图</w:t>
            </w:r>
            <w:r>
              <w:rPr>
                <w:rFonts w:hint="eastAsia" w:ascii="Times New Roman" w:hAnsi="Times New Roman" w:cs="Times New Roman"/>
                <w:sz w:val="24"/>
                <w:szCs w:val="24"/>
              </w:rPr>
              <w:t>7</w:t>
            </w:r>
            <w:r>
              <w:rPr>
                <w:rFonts w:ascii="Times New Roman" w:hAnsi="Times New Roman" w:cs="Times New Roman"/>
                <w:sz w:val="24"/>
                <w:szCs w:val="24"/>
              </w:rPr>
              <w:t>。</w:t>
            </w: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sz w:val="24"/>
                <w:szCs w:val="24"/>
              </w:rPr>
            </w:pPr>
          </w:p>
          <w:p>
            <w:pPr>
              <w:snapToGrid w:val="0"/>
              <w:spacing w:line="480" w:lineRule="exact"/>
              <w:rPr>
                <w:rFonts w:ascii="Times New Roman" w:hAnsi="Times New Roman" w:cs="Times New Roman"/>
                <w:b/>
                <w:sz w:val="28"/>
                <w:szCs w:val="28"/>
              </w:rPr>
            </w:pPr>
            <w:r>
              <w:rPr>
                <w:rFonts w:hint="eastAsia" w:ascii="Times New Roman" w:hAnsi="Times New Roman" w:cs="Times New Roman"/>
                <w:sz w:val="24"/>
                <w:szCs w:val="24"/>
              </w:rPr>
              <w:t>.</w:t>
            </w:r>
          </w:p>
        </w:tc>
      </w:tr>
    </w:tbl>
    <w:p>
      <w:pPr>
        <w:snapToGrid w:val="0"/>
        <w:spacing w:line="480" w:lineRule="exact"/>
        <w:rPr>
          <w:rFonts w:ascii="Times New Roman" w:hAnsi="Times New Roman" w:cs="Times New Roman"/>
          <w:b/>
          <w:sz w:val="28"/>
          <w:szCs w:val="28"/>
        </w:rPr>
        <w:sectPr>
          <w:footerReference r:id="rId7" w:type="default"/>
          <w:pgSz w:w="11906" w:h="16838"/>
          <w:pgMar w:top="1440" w:right="1418" w:bottom="1440" w:left="1418" w:header="851" w:footer="992" w:gutter="0"/>
          <w:pgNumType w:start="1"/>
          <w:cols w:space="425" w:num="1"/>
          <w:docGrid w:type="lines" w:linePitch="312" w:charSpace="0"/>
        </w:sectPr>
      </w:pPr>
    </w:p>
    <w:p>
      <w:pPr>
        <w:rPr>
          <w:rFonts w:ascii="Times New Roman" w:hAnsi="Times New Roman" w:cs="Times New Roman"/>
          <w:color w:val="000000" w:themeColor="text1"/>
        </w:rPr>
      </w:pPr>
      <w:r>
        <w:rPr>
          <w:rFonts w:hint="eastAsia" w:ascii="Times New Roman" w:hAnsi="Times New Roman" w:eastAsia="黑体" w:cs="Times New Roman"/>
          <w:bCs/>
          <w:color w:val="000000" w:themeColor="text1"/>
          <w:sz w:val="32"/>
        </w:rPr>
        <w:t>三、</w:t>
      </w:r>
      <w:r>
        <w:rPr>
          <w:rFonts w:ascii="Times New Roman" w:hAnsi="Times New Roman" w:eastAsia="黑体" w:cs="Times New Roman"/>
          <w:bCs/>
          <w:color w:val="000000" w:themeColor="text1"/>
          <w:sz w:val="32"/>
        </w:rPr>
        <w:t>环境质量现状</w:t>
      </w:r>
    </w:p>
    <w:tbl>
      <w:tblPr>
        <w:tblStyle w:val="40"/>
        <w:tblW w:w="9286"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1" w:hRule="atLeast"/>
        </w:trPr>
        <w:tc>
          <w:tcPr>
            <w:tcW w:w="9286" w:type="dxa"/>
            <w:tcBorders>
              <w:top w:val="single" w:color="auto" w:sz="12" w:space="0"/>
              <w:left w:val="single" w:color="auto" w:sz="12" w:space="0"/>
              <w:bottom w:val="single" w:color="auto" w:sz="12" w:space="0"/>
              <w:right w:val="single" w:color="auto" w:sz="12" w:space="0"/>
            </w:tcBorders>
          </w:tcPr>
          <w:p>
            <w:pPr>
              <w:spacing w:line="500" w:lineRule="exact"/>
              <w:jc w:val="left"/>
              <w:rPr>
                <w:rFonts w:ascii="Times New Roman" w:hAnsi="Times New Roman" w:cs="Times New Roman"/>
                <w:b/>
                <w:bCs/>
                <w:kern w:val="0"/>
                <w:sz w:val="28"/>
                <w:szCs w:val="28"/>
              </w:rPr>
            </w:pPr>
            <w:r>
              <w:rPr>
                <w:rFonts w:ascii="Times New Roman" w:hAnsi="Times New Roman" w:cs="Times New Roman"/>
                <w:b/>
                <w:bCs/>
                <w:kern w:val="0"/>
                <w:sz w:val="28"/>
                <w:szCs w:val="28"/>
              </w:rPr>
              <w:t>建设项目所在地区域环境质量现状及主要环境问题（环境空气、地表水、地下水、声环境、生态环境等）：</w:t>
            </w:r>
          </w:p>
          <w:p>
            <w:pPr>
              <w:spacing w:line="500" w:lineRule="exact"/>
              <w:ind w:firstLine="482" w:firstLineChars="200"/>
              <w:rPr>
                <w:rFonts w:ascii="Times New Roman" w:hAnsi="Times New Roman" w:cs="Times New Roman"/>
                <w:b/>
                <w:bCs/>
                <w:kern w:val="0"/>
                <w:sz w:val="24"/>
                <w:szCs w:val="24"/>
              </w:rPr>
            </w:pPr>
            <w:r>
              <w:rPr>
                <w:rFonts w:ascii="Times New Roman" w:hAnsi="Times New Roman" w:cs="Times New Roman"/>
                <w:b/>
                <w:bCs/>
                <w:kern w:val="0"/>
                <w:sz w:val="24"/>
                <w:szCs w:val="24"/>
              </w:rPr>
              <w:t>1、</w:t>
            </w:r>
            <w:r>
              <w:rPr>
                <w:rFonts w:ascii="Times New Roman" w:hAnsi="Times New Roman" w:cs="Times New Roman"/>
                <w:b/>
                <w:kern w:val="0"/>
                <w:sz w:val="24"/>
                <w:szCs w:val="24"/>
              </w:rPr>
              <w:t>大气环境质量现状</w:t>
            </w:r>
          </w:p>
          <w:p>
            <w:pPr>
              <w:spacing w:line="500" w:lineRule="exact"/>
              <w:ind w:firstLine="480" w:firstLineChars="200"/>
              <w:rPr>
                <w:rFonts w:ascii="Times New Roman" w:hAnsi="Times New Roman" w:cs="Times New Roman"/>
                <w:sz w:val="24"/>
                <w:szCs w:val="24"/>
              </w:rPr>
            </w:pPr>
            <w:r>
              <w:rPr>
                <w:rFonts w:ascii="Times New Roman" w:hAnsi="Times New Roman" w:cs="Times New Roman"/>
                <w:bCs/>
                <w:sz w:val="24"/>
                <w:szCs w:val="24"/>
              </w:rPr>
              <w:t>收集了本项目所在区域201</w:t>
            </w:r>
            <w:r>
              <w:rPr>
                <w:rFonts w:hint="eastAsia" w:ascii="Times New Roman" w:hAnsi="Times New Roman" w:cs="Times New Roman"/>
                <w:bCs/>
                <w:sz w:val="24"/>
                <w:szCs w:val="24"/>
              </w:rPr>
              <w:t>9</w:t>
            </w:r>
            <w:r>
              <w:rPr>
                <w:rFonts w:ascii="Times New Roman" w:hAnsi="Times New Roman" w:cs="Times New Roman"/>
                <w:bCs/>
                <w:sz w:val="24"/>
                <w:szCs w:val="24"/>
              </w:rPr>
              <w:t>年全年环境空气质量例行监测数据</w:t>
            </w:r>
            <w:r>
              <w:rPr>
                <w:rFonts w:ascii="Times New Roman" w:hAnsi="Times New Roman" w:cs="Times New Roman"/>
                <w:sz w:val="24"/>
                <w:szCs w:val="24"/>
              </w:rPr>
              <w:t>，监测因子为NO</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cs="Times New Roman"/>
                <w:sz w:val="24"/>
                <w:szCs w:val="24"/>
              </w:rPr>
              <w:t>、PM</w:t>
            </w:r>
            <w:r>
              <w:rPr>
                <w:rFonts w:ascii="Times New Roman" w:hAnsi="Times New Roman" w:cs="Times New Roman"/>
                <w:sz w:val="24"/>
                <w:szCs w:val="24"/>
                <w:vertAlign w:val="subscript"/>
              </w:rPr>
              <w:t>10</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、CO、O</w:t>
            </w:r>
            <w:r>
              <w:rPr>
                <w:rFonts w:ascii="Times New Roman" w:hAnsi="Times New Roman" w:cs="Times New Roman"/>
                <w:sz w:val="24"/>
                <w:szCs w:val="24"/>
                <w:vertAlign w:val="subscript"/>
              </w:rPr>
              <w:t>3</w:t>
            </w:r>
            <w:r>
              <w:rPr>
                <w:rFonts w:ascii="Times New Roman" w:hAnsi="Times New Roman" w:cs="Times New Roman"/>
                <w:sz w:val="24"/>
                <w:szCs w:val="24"/>
              </w:rPr>
              <w:t>，数据统计结果详见表3-1。</w:t>
            </w:r>
          </w:p>
          <w:p>
            <w:pPr>
              <w:spacing w:line="500" w:lineRule="exact"/>
              <w:ind w:firstLine="482" w:firstLineChars="200"/>
              <w:jc w:val="center"/>
              <w:rPr>
                <w:rFonts w:ascii="Times New Roman" w:hAnsi="Times New Roman" w:cs="Times New Roman"/>
                <w:b/>
                <w:sz w:val="24"/>
                <w:szCs w:val="24"/>
                <w:highlight w:val="yellow"/>
              </w:rPr>
            </w:pPr>
            <w:r>
              <w:rPr>
                <w:rFonts w:ascii="Times New Roman" w:hAnsi="Times New Roman" w:cs="Times New Roman"/>
                <w:b/>
                <w:sz w:val="24"/>
                <w:szCs w:val="24"/>
              </w:rPr>
              <w:t>表3-1  环境空气质量例行监测统计结果</w:t>
            </w:r>
          </w:p>
          <w:tbl>
            <w:tblPr>
              <w:tblStyle w:val="40"/>
              <w:tblW w:w="903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814"/>
              <w:gridCol w:w="1802"/>
              <w:gridCol w:w="2001"/>
              <w:gridCol w:w="120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0" w:type="dxa"/>
                  <w:tcBorders>
                    <w:tl2br w:val="nil"/>
                    <w:tr2bl w:val="nil"/>
                  </w:tcBorders>
                  <w:vAlign w:val="center"/>
                </w:tcPr>
                <w:p>
                  <w:pPr>
                    <w:spacing w:line="380" w:lineRule="exact"/>
                    <w:jc w:val="center"/>
                    <w:rPr>
                      <w:rFonts w:ascii="Times New Roman" w:hAnsi="Times New Roman" w:cs="Times New Roman"/>
                      <w:b/>
                      <w:szCs w:val="21"/>
                    </w:rPr>
                  </w:pPr>
                  <w:r>
                    <w:rPr>
                      <w:rFonts w:ascii="Times New Roman" w:hAnsi="Times New Roman" w:cs="Times New Roman"/>
                      <w:b/>
                      <w:szCs w:val="21"/>
                    </w:rPr>
                    <w:t>监测项目</w:t>
                  </w:r>
                </w:p>
              </w:tc>
              <w:tc>
                <w:tcPr>
                  <w:tcW w:w="2814" w:type="dxa"/>
                  <w:tcBorders>
                    <w:tl2br w:val="nil"/>
                    <w:tr2bl w:val="nil"/>
                  </w:tcBorders>
                  <w:vAlign w:val="center"/>
                </w:tcPr>
                <w:p>
                  <w:pPr>
                    <w:spacing w:line="380" w:lineRule="exact"/>
                    <w:jc w:val="center"/>
                    <w:rPr>
                      <w:rFonts w:ascii="Times New Roman" w:hAnsi="Times New Roman" w:cs="Times New Roman"/>
                      <w:b/>
                      <w:szCs w:val="21"/>
                    </w:rPr>
                  </w:pPr>
                  <w:r>
                    <w:rPr>
                      <w:rFonts w:ascii="Times New Roman" w:hAnsi="Times New Roman" w:cs="Times New Roman"/>
                      <w:b/>
                      <w:szCs w:val="21"/>
                    </w:rPr>
                    <w:t>年评价指标</w:t>
                  </w:r>
                </w:p>
              </w:tc>
              <w:tc>
                <w:tcPr>
                  <w:tcW w:w="1802" w:type="dxa"/>
                  <w:tcBorders>
                    <w:tl2br w:val="nil"/>
                    <w:tr2bl w:val="nil"/>
                  </w:tcBorders>
                  <w:vAlign w:val="center"/>
                </w:tcPr>
                <w:p>
                  <w:pPr>
                    <w:spacing w:line="380" w:lineRule="exact"/>
                    <w:jc w:val="center"/>
                    <w:rPr>
                      <w:rFonts w:ascii="Times New Roman" w:hAnsi="Times New Roman" w:cs="Times New Roman"/>
                      <w:b/>
                      <w:szCs w:val="21"/>
                    </w:rPr>
                  </w:pPr>
                  <w:r>
                    <w:rPr>
                      <w:rFonts w:ascii="Times New Roman" w:hAnsi="Times New Roman" w:cs="Times New Roman"/>
                      <w:b/>
                      <w:szCs w:val="21"/>
                    </w:rPr>
                    <w:t>年均值(µg /m</w:t>
                  </w:r>
                  <w:r>
                    <w:rPr>
                      <w:rFonts w:ascii="Times New Roman" w:hAnsi="Times New Roman" w:cs="Times New Roman"/>
                      <w:b/>
                      <w:szCs w:val="21"/>
                      <w:vertAlign w:val="superscript"/>
                    </w:rPr>
                    <w:t>3</w:t>
                  </w:r>
                  <w:r>
                    <w:rPr>
                      <w:rFonts w:ascii="Times New Roman" w:hAnsi="Times New Roman" w:cs="Times New Roman"/>
                      <w:b/>
                      <w:szCs w:val="21"/>
                    </w:rPr>
                    <w:t>)</w:t>
                  </w:r>
                </w:p>
              </w:tc>
              <w:tc>
                <w:tcPr>
                  <w:tcW w:w="2001" w:type="dxa"/>
                  <w:tcBorders>
                    <w:tl2br w:val="nil"/>
                    <w:tr2bl w:val="nil"/>
                  </w:tcBorders>
                  <w:vAlign w:val="center"/>
                </w:tcPr>
                <w:p>
                  <w:pPr>
                    <w:spacing w:line="380" w:lineRule="exact"/>
                    <w:jc w:val="center"/>
                    <w:rPr>
                      <w:rFonts w:ascii="Times New Roman" w:hAnsi="Times New Roman" w:cs="Times New Roman"/>
                      <w:b/>
                      <w:szCs w:val="21"/>
                    </w:rPr>
                  </w:pPr>
                  <w:r>
                    <w:rPr>
                      <w:rFonts w:ascii="Times New Roman" w:hAnsi="Times New Roman" w:cs="Times New Roman"/>
                      <w:b/>
                      <w:szCs w:val="21"/>
                    </w:rPr>
                    <w:t>评价标准(µg /m</w:t>
                  </w:r>
                  <w:r>
                    <w:rPr>
                      <w:rFonts w:ascii="Times New Roman" w:hAnsi="Times New Roman" w:cs="Times New Roman"/>
                      <w:b/>
                      <w:szCs w:val="21"/>
                      <w:vertAlign w:val="superscript"/>
                    </w:rPr>
                    <w:t>3</w:t>
                  </w:r>
                  <w:r>
                    <w:rPr>
                      <w:rFonts w:ascii="Times New Roman" w:hAnsi="Times New Roman" w:cs="Times New Roman"/>
                      <w:b/>
                      <w:szCs w:val="21"/>
                    </w:rPr>
                    <w:t>)</w:t>
                  </w:r>
                </w:p>
              </w:tc>
              <w:tc>
                <w:tcPr>
                  <w:tcW w:w="1209" w:type="dxa"/>
                  <w:tcBorders>
                    <w:tl2br w:val="nil"/>
                    <w:tr2bl w:val="nil"/>
                  </w:tcBorders>
                  <w:vAlign w:val="center"/>
                </w:tcPr>
                <w:p>
                  <w:pPr>
                    <w:spacing w:line="380" w:lineRule="exact"/>
                    <w:jc w:val="center"/>
                    <w:rPr>
                      <w:rFonts w:ascii="Times New Roman" w:hAnsi="Times New Roman" w:cs="Times New Roman"/>
                      <w:b/>
                      <w:szCs w:val="21"/>
                    </w:rPr>
                  </w:pPr>
                  <w:r>
                    <w:rPr>
                      <w:rFonts w:ascii="Times New Roman" w:hAnsi="Times New Roman" w:cs="Times New Roman"/>
                      <w:b/>
                      <w:szCs w:val="21"/>
                    </w:rPr>
                    <w:t>超标情况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0"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PM</w:t>
                  </w:r>
                  <w:r>
                    <w:rPr>
                      <w:rFonts w:ascii="Times New Roman" w:hAnsi="Times New Roman" w:cs="Times New Roman"/>
                      <w:szCs w:val="21"/>
                      <w:vertAlign w:val="subscript"/>
                    </w:rPr>
                    <w:t>10</w:t>
                  </w:r>
                </w:p>
              </w:tc>
              <w:tc>
                <w:tcPr>
                  <w:tcW w:w="2814"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年平均质量浓度</w:t>
                  </w:r>
                </w:p>
              </w:tc>
              <w:tc>
                <w:tcPr>
                  <w:tcW w:w="1802" w:type="dxa"/>
                  <w:tcBorders>
                    <w:tl2br w:val="nil"/>
                    <w:tr2bl w:val="nil"/>
                  </w:tcBorders>
                  <w:vAlign w:val="center"/>
                </w:tcPr>
                <w:p>
                  <w:pPr>
                    <w:adjustRightInd w:val="0"/>
                    <w:spacing w:line="380" w:lineRule="exact"/>
                    <w:jc w:val="center"/>
                    <w:rPr>
                      <w:rFonts w:ascii="Times New Roman" w:hAnsi="Times New Roman" w:cs="Times New Roman"/>
                      <w:spacing w:val="4"/>
                      <w:szCs w:val="21"/>
                    </w:rPr>
                  </w:pPr>
                  <w:r>
                    <w:rPr>
                      <w:rFonts w:hint="eastAsia" w:ascii="Times New Roman" w:hAnsi="Times New Roman" w:cs="Times New Roman"/>
                      <w:spacing w:val="4"/>
                      <w:szCs w:val="21"/>
                    </w:rPr>
                    <w:t>84</w:t>
                  </w:r>
                </w:p>
              </w:tc>
              <w:tc>
                <w:tcPr>
                  <w:tcW w:w="2001"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70</w:t>
                  </w:r>
                </w:p>
              </w:tc>
              <w:tc>
                <w:tcPr>
                  <w:tcW w:w="1209"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超标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0"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PM</w:t>
                  </w:r>
                  <w:r>
                    <w:rPr>
                      <w:rFonts w:ascii="Times New Roman" w:hAnsi="Times New Roman" w:cs="Times New Roman"/>
                      <w:szCs w:val="21"/>
                      <w:vertAlign w:val="subscript"/>
                    </w:rPr>
                    <w:t>2.5</w:t>
                  </w:r>
                </w:p>
              </w:tc>
              <w:tc>
                <w:tcPr>
                  <w:tcW w:w="2814"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年平均质量浓度</w:t>
                  </w:r>
                </w:p>
              </w:tc>
              <w:tc>
                <w:tcPr>
                  <w:tcW w:w="1802" w:type="dxa"/>
                  <w:tcBorders>
                    <w:tl2br w:val="nil"/>
                    <w:tr2bl w:val="nil"/>
                  </w:tcBorders>
                  <w:vAlign w:val="center"/>
                </w:tcPr>
                <w:p>
                  <w:pPr>
                    <w:adjustRightInd w:val="0"/>
                    <w:spacing w:line="380" w:lineRule="exact"/>
                    <w:jc w:val="center"/>
                    <w:rPr>
                      <w:rFonts w:ascii="Times New Roman" w:hAnsi="Times New Roman" w:cs="Times New Roman"/>
                      <w:spacing w:val="4"/>
                      <w:szCs w:val="21"/>
                    </w:rPr>
                  </w:pPr>
                  <w:r>
                    <w:rPr>
                      <w:rFonts w:hint="eastAsia" w:ascii="Times New Roman" w:hAnsi="Times New Roman" w:cs="Times New Roman"/>
                      <w:spacing w:val="4"/>
                      <w:szCs w:val="21"/>
                    </w:rPr>
                    <w:t>36</w:t>
                  </w:r>
                </w:p>
              </w:tc>
              <w:tc>
                <w:tcPr>
                  <w:tcW w:w="2001"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35</w:t>
                  </w:r>
                </w:p>
              </w:tc>
              <w:tc>
                <w:tcPr>
                  <w:tcW w:w="1209"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超标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0"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SO</w:t>
                  </w:r>
                  <w:r>
                    <w:rPr>
                      <w:rFonts w:ascii="Times New Roman" w:hAnsi="Times New Roman" w:cs="Times New Roman"/>
                      <w:szCs w:val="21"/>
                      <w:vertAlign w:val="subscript"/>
                    </w:rPr>
                    <w:t>2</w:t>
                  </w:r>
                </w:p>
              </w:tc>
              <w:tc>
                <w:tcPr>
                  <w:tcW w:w="2814"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年平均质量浓度</w:t>
                  </w:r>
                </w:p>
              </w:tc>
              <w:tc>
                <w:tcPr>
                  <w:tcW w:w="1802" w:type="dxa"/>
                  <w:tcBorders>
                    <w:tl2br w:val="nil"/>
                    <w:tr2bl w:val="nil"/>
                  </w:tcBorders>
                  <w:vAlign w:val="center"/>
                </w:tcPr>
                <w:p>
                  <w:pPr>
                    <w:adjustRightInd w:val="0"/>
                    <w:spacing w:line="380" w:lineRule="exact"/>
                    <w:jc w:val="center"/>
                    <w:rPr>
                      <w:rFonts w:ascii="Times New Roman" w:hAnsi="Times New Roman" w:cs="Times New Roman"/>
                      <w:spacing w:val="4"/>
                      <w:szCs w:val="21"/>
                    </w:rPr>
                  </w:pPr>
                  <w:r>
                    <w:rPr>
                      <w:rFonts w:hint="eastAsia" w:ascii="Times New Roman" w:hAnsi="Times New Roman" w:cs="Times New Roman"/>
                      <w:spacing w:val="4"/>
                      <w:szCs w:val="21"/>
                    </w:rPr>
                    <w:t>75</w:t>
                  </w:r>
                </w:p>
              </w:tc>
              <w:tc>
                <w:tcPr>
                  <w:tcW w:w="2001"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60</w:t>
                  </w:r>
                </w:p>
              </w:tc>
              <w:tc>
                <w:tcPr>
                  <w:tcW w:w="1209"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超标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0"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NO</w:t>
                  </w:r>
                  <w:r>
                    <w:rPr>
                      <w:rFonts w:ascii="Times New Roman" w:hAnsi="Times New Roman" w:cs="Times New Roman"/>
                      <w:szCs w:val="21"/>
                      <w:vertAlign w:val="subscript"/>
                    </w:rPr>
                    <w:t>2</w:t>
                  </w:r>
                </w:p>
              </w:tc>
              <w:tc>
                <w:tcPr>
                  <w:tcW w:w="2814"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年平均质量浓度</w:t>
                  </w:r>
                </w:p>
              </w:tc>
              <w:tc>
                <w:tcPr>
                  <w:tcW w:w="1802" w:type="dxa"/>
                  <w:tcBorders>
                    <w:tl2br w:val="nil"/>
                    <w:tr2bl w:val="nil"/>
                  </w:tcBorders>
                  <w:vAlign w:val="center"/>
                </w:tcPr>
                <w:p>
                  <w:pPr>
                    <w:adjustRightInd w:val="0"/>
                    <w:spacing w:line="380" w:lineRule="exact"/>
                    <w:jc w:val="center"/>
                    <w:rPr>
                      <w:rFonts w:ascii="Times New Roman" w:hAnsi="Times New Roman" w:cs="Times New Roman"/>
                      <w:spacing w:val="4"/>
                      <w:szCs w:val="21"/>
                    </w:rPr>
                  </w:pPr>
                  <w:r>
                    <w:rPr>
                      <w:rFonts w:hint="eastAsia" w:ascii="Times New Roman" w:hAnsi="Times New Roman" w:cs="Times New Roman"/>
                      <w:spacing w:val="4"/>
                      <w:szCs w:val="21"/>
                    </w:rPr>
                    <w:t>39</w:t>
                  </w:r>
                </w:p>
              </w:tc>
              <w:tc>
                <w:tcPr>
                  <w:tcW w:w="2001"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40</w:t>
                  </w:r>
                </w:p>
              </w:tc>
              <w:tc>
                <w:tcPr>
                  <w:tcW w:w="1209"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达标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0" w:type="dxa"/>
                  <w:tcBorders>
                    <w:tl2br w:val="nil"/>
                    <w:tr2bl w:val="nil"/>
                  </w:tcBorders>
                  <w:vAlign w:val="center"/>
                </w:tcPr>
                <w:p>
                  <w:pPr>
                    <w:spacing w:line="380" w:lineRule="exact"/>
                    <w:jc w:val="center"/>
                    <w:rPr>
                      <w:rFonts w:ascii="Times New Roman" w:hAnsi="Times New Roman" w:cs="Times New Roman"/>
                    </w:rPr>
                  </w:pPr>
                  <w:r>
                    <w:rPr>
                      <w:rFonts w:ascii="Times New Roman" w:hAnsi="Times New Roman" w:cs="Times New Roman"/>
                    </w:rPr>
                    <w:t>CO</w:t>
                  </w:r>
                </w:p>
              </w:tc>
              <w:tc>
                <w:tcPr>
                  <w:tcW w:w="2814"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95百分位</w:t>
                  </w:r>
                </w:p>
                <w:p>
                  <w:pPr>
                    <w:spacing w:line="380" w:lineRule="exact"/>
                    <w:jc w:val="center"/>
                    <w:rPr>
                      <w:rFonts w:ascii="Times New Roman" w:hAnsi="Times New Roman" w:cs="Times New Roman"/>
                      <w:szCs w:val="21"/>
                    </w:rPr>
                  </w:pPr>
                  <w:r>
                    <w:rPr>
                      <w:rFonts w:ascii="Times New Roman" w:hAnsi="Times New Roman" w:cs="Times New Roman"/>
                      <w:szCs w:val="21"/>
                    </w:rPr>
                    <w:t>日平均质量浓度</w:t>
                  </w:r>
                </w:p>
              </w:tc>
              <w:tc>
                <w:tcPr>
                  <w:tcW w:w="1802" w:type="dxa"/>
                  <w:tcBorders>
                    <w:tl2br w:val="nil"/>
                    <w:tr2bl w:val="nil"/>
                  </w:tcBorders>
                  <w:vAlign w:val="center"/>
                </w:tcPr>
                <w:p>
                  <w:pPr>
                    <w:adjustRightInd w:val="0"/>
                    <w:spacing w:line="380" w:lineRule="exact"/>
                    <w:jc w:val="center"/>
                    <w:rPr>
                      <w:rFonts w:ascii="Times New Roman" w:hAnsi="Times New Roman" w:cs="Times New Roman"/>
                      <w:spacing w:val="4"/>
                      <w:szCs w:val="21"/>
                    </w:rPr>
                  </w:pPr>
                  <w:r>
                    <w:rPr>
                      <w:rFonts w:hint="eastAsia" w:ascii="Times New Roman" w:hAnsi="Times New Roman" w:cs="Times New Roman"/>
                      <w:spacing w:val="4"/>
                      <w:szCs w:val="21"/>
                    </w:rPr>
                    <w:t>3.2</w:t>
                  </w:r>
                  <w:r>
                    <w:rPr>
                      <w:rFonts w:ascii="Times New Roman" w:hAnsi="Times New Roman" w:cs="Times New Roman"/>
                      <w:spacing w:val="4"/>
                      <w:szCs w:val="21"/>
                    </w:rPr>
                    <w:t>（</w:t>
                  </w:r>
                  <w:r>
                    <w:rPr>
                      <w:rFonts w:ascii="Times New Roman" w:hAnsi="Times New Roman" w:cs="Times New Roman"/>
                      <w:spacing w:val="4"/>
                      <w:szCs w:val="21"/>
                      <w:lang w:val="zh-CN"/>
                    </w:rPr>
                    <w:t>m</w:t>
                  </w:r>
                  <w:r>
                    <w:rPr>
                      <w:rFonts w:ascii="Times New Roman" w:hAnsi="Times New Roman" w:cs="Times New Roman"/>
                      <w:spacing w:val="4"/>
                      <w:szCs w:val="21"/>
                    </w:rPr>
                    <w:t>g/m</w:t>
                  </w:r>
                  <w:r>
                    <w:rPr>
                      <w:rFonts w:ascii="Times New Roman" w:hAnsi="Times New Roman" w:cs="Times New Roman"/>
                      <w:spacing w:val="4"/>
                      <w:szCs w:val="21"/>
                      <w:vertAlign w:val="superscript"/>
                    </w:rPr>
                    <w:t>3</w:t>
                  </w:r>
                  <w:r>
                    <w:rPr>
                      <w:rFonts w:ascii="Times New Roman" w:hAnsi="Times New Roman" w:cs="Times New Roman"/>
                      <w:spacing w:val="4"/>
                      <w:szCs w:val="21"/>
                    </w:rPr>
                    <w:t>）</w:t>
                  </w:r>
                </w:p>
              </w:tc>
              <w:tc>
                <w:tcPr>
                  <w:tcW w:w="2001"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4.0（mg/m</w:t>
                  </w:r>
                  <w:r>
                    <w:rPr>
                      <w:rFonts w:ascii="Times New Roman" w:hAnsi="Times New Roman" w:cs="Times New Roman"/>
                      <w:szCs w:val="21"/>
                      <w:vertAlign w:val="superscript"/>
                    </w:rPr>
                    <w:t>3</w:t>
                  </w:r>
                  <w:r>
                    <w:rPr>
                      <w:rFonts w:ascii="Times New Roman" w:hAnsi="Times New Roman" w:cs="Times New Roman"/>
                      <w:szCs w:val="21"/>
                    </w:rPr>
                    <w:t>）</w:t>
                  </w:r>
                </w:p>
              </w:tc>
              <w:tc>
                <w:tcPr>
                  <w:tcW w:w="1209"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超标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0" w:type="dxa"/>
                  <w:tcBorders>
                    <w:tl2br w:val="nil"/>
                    <w:tr2bl w:val="nil"/>
                  </w:tcBorders>
                  <w:vAlign w:val="center"/>
                </w:tcPr>
                <w:p>
                  <w:pPr>
                    <w:spacing w:line="380" w:lineRule="exact"/>
                    <w:jc w:val="center"/>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3</w:t>
                  </w:r>
                </w:p>
              </w:tc>
              <w:tc>
                <w:tcPr>
                  <w:tcW w:w="2814" w:type="dxa"/>
                  <w:tcBorders>
                    <w:tl2br w:val="nil"/>
                    <w:tr2bl w:val="nil"/>
                  </w:tcBorders>
                  <w:vAlign w:val="center"/>
                </w:tcPr>
                <w:p>
                  <w:pPr>
                    <w:snapToGrid w:val="0"/>
                    <w:spacing w:line="380" w:lineRule="exact"/>
                    <w:jc w:val="center"/>
                    <w:rPr>
                      <w:rFonts w:ascii="Times New Roman" w:hAnsi="Times New Roman" w:cs="Times New Roman"/>
                      <w:szCs w:val="21"/>
                    </w:rPr>
                  </w:pPr>
                  <w:r>
                    <w:rPr>
                      <w:rFonts w:ascii="Times New Roman" w:hAnsi="Times New Roman" w:cs="Times New Roman"/>
                      <w:szCs w:val="21"/>
                    </w:rPr>
                    <w:t>90百分位日最大</w:t>
                  </w:r>
                </w:p>
                <w:p>
                  <w:pPr>
                    <w:snapToGrid w:val="0"/>
                    <w:spacing w:line="380" w:lineRule="exact"/>
                    <w:jc w:val="center"/>
                    <w:rPr>
                      <w:rFonts w:ascii="Times New Roman" w:hAnsi="Times New Roman" w:cs="Times New Roman"/>
                      <w:szCs w:val="21"/>
                    </w:rPr>
                  </w:pPr>
                  <w:r>
                    <w:rPr>
                      <w:rFonts w:ascii="Times New Roman" w:hAnsi="Times New Roman" w:cs="Times New Roman"/>
                      <w:szCs w:val="21"/>
                    </w:rPr>
                    <w:t>8小时平均质量浓度</w:t>
                  </w:r>
                </w:p>
              </w:tc>
              <w:tc>
                <w:tcPr>
                  <w:tcW w:w="1802" w:type="dxa"/>
                  <w:tcBorders>
                    <w:tl2br w:val="nil"/>
                    <w:tr2bl w:val="nil"/>
                  </w:tcBorders>
                  <w:vAlign w:val="center"/>
                </w:tcPr>
                <w:p>
                  <w:pPr>
                    <w:adjustRightInd w:val="0"/>
                    <w:spacing w:line="380" w:lineRule="exact"/>
                    <w:jc w:val="center"/>
                    <w:rPr>
                      <w:rFonts w:ascii="Times New Roman" w:hAnsi="Times New Roman" w:cs="Times New Roman"/>
                      <w:spacing w:val="4"/>
                      <w:szCs w:val="21"/>
                    </w:rPr>
                  </w:pPr>
                  <w:r>
                    <w:rPr>
                      <w:rFonts w:hint="eastAsia" w:ascii="Times New Roman" w:hAnsi="Times New Roman" w:cs="Times New Roman"/>
                      <w:spacing w:val="4"/>
                      <w:szCs w:val="21"/>
                    </w:rPr>
                    <w:t>166</w:t>
                  </w:r>
                </w:p>
              </w:tc>
              <w:tc>
                <w:tcPr>
                  <w:tcW w:w="2001"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160</w:t>
                  </w:r>
                </w:p>
              </w:tc>
              <w:tc>
                <w:tcPr>
                  <w:tcW w:w="1209" w:type="dxa"/>
                  <w:tcBorders>
                    <w:tl2br w:val="nil"/>
                    <w:tr2bl w:val="nil"/>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达标</w:t>
                  </w:r>
                </w:p>
              </w:tc>
            </w:tr>
          </w:tbl>
          <w:p>
            <w:pPr>
              <w:spacing w:line="500" w:lineRule="exact"/>
              <w:ind w:firstLine="480" w:firstLineChars="200"/>
              <w:rPr>
                <w:rFonts w:ascii="Times New Roman" w:hAnsi="Times New Roman" w:cs="Times New Roman"/>
                <w:sz w:val="24"/>
                <w:szCs w:val="24"/>
              </w:rPr>
            </w:pPr>
            <w:r>
              <w:rPr>
                <w:rFonts w:ascii="Times New Roman" w:hAnsi="Times New Roman" w:cs="Times New Roman"/>
                <w:bCs/>
                <w:sz w:val="24"/>
                <w:szCs w:val="24"/>
              </w:rPr>
              <w:t>统计结果显示，在统计的各项污染因子中</w:t>
            </w:r>
            <w:r>
              <w:rPr>
                <w:rFonts w:ascii="Times New Roman" w:hAnsi="Times New Roman" w:cs="Times New Roman"/>
                <w:sz w:val="24"/>
                <w:szCs w:val="24"/>
              </w:rPr>
              <w:t>PM</w:t>
            </w:r>
            <w:r>
              <w:rPr>
                <w:rFonts w:ascii="Times New Roman" w:hAnsi="Times New Roman" w:cs="Times New Roman"/>
                <w:sz w:val="24"/>
                <w:szCs w:val="24"/>
                <w:vertAlign w:val="subscript"/>
              </w:rPr>
              <w:t>10</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cs="Times New Roman"/>
                <w:sz w:val="24"/>
                <w:szCs w:val="24"/>
              </w:rPr>
              <w:t>年均值不满足《环境空气质量标准》（GB3095-2012）二级标准要求，本项目所在区域环境空气质量为不达标区，超标原因与冬季采暖和北方扬尘较多有关。</w:t>
            </w:r>
          </w:p>
          <w:p>
            <w:pPr>
              <w:pStyle w:val="2"/>
              <w:spacing w:line="500" w:lineRule="exact"/>
              <w:ind w:firstLine="480" w:firstLineChars="200"/>
              <w:rPr>
                <w:rFonts w:ascii="Times New Roman" w:cs="Times New Roman" w:eastAsiaTheme="minorEastAsia"/>
                <w:kern w:val="2"/>
              </w:rPr>
            </w:pPr>
            <w:r>
              <w:rPr>
                <w:rFonts w:ascii="Times New Roman" w:cs="Times New Roman" w:eastAsiaTheme="minorEastAsia"/>
                <w:szCs w:val="28"/>
              </w:rPr>
              <w:t>为了解项目所在地环境空气质量现状</w:t>
            </w:r>
            <w:r>
              <w:rPr>
                <w:rFonts w:ascii="Times New Roman" w:cs="Times New Roman" w:eastAsiaTheme="minorEastAsia"/>
                <w:kern w:val="2"/>
              </w:rPr>
              <w:t>，</w:t>
            </w:r>
            <w:r>
              <w:rPr>
                <w:rFonts w:hint="eastAsia" w:ascii="Times New Roman" w:cs="Times New Roman" w:eastAsiaTheme="minorEastAsia"/>
                <w:kern w:val="2"/>
              </w:rPr>
              <w:t>企业委托山西昌兴同创安全技术服务有限公司对项目环境空气质量进行监测。监测在厂址及下风向设2个监测点位（监测点位图见图3-1），监测项目为TSP、PM</w:t>
            </w:r>
            <w:r>
              <w:rPr>
                <w:rFonts w:hint="eastAsia" w:ascii="Times New Roman" w:cs="Times New Roman" w:eastAsiaTheme="minorEastAsia"/>
                <w:kern w:val="2"/>
                <w:vertAlign w:val="subscript"/>
              </w:rPr>
              <w:t>10</w:t>
            </w:r>
            <w:r>
              <w:rPr>
                <w:rFonts w:ascii="Times New Roman" w:cs="Times New Roman" w:eastAsiaTheme="minorEastAsia"/>
                <w:kern w:val="2"/>
              </w:rPr>
              <w:t>，</w:t>
            </w:r>
            <w:r>
              <w:rPr>
                <w:rFonts w:hint="eastAsia" w:ascii="Times New Roman" w:cs="Times New Roman" w:eastAsiaTheme="minorEastAsia"/>
                <w:kern w:val="2"/>
              </w:rPr>
              <w:t>监测时间为2020年10月2日-10月8日，连续监测7天</w:t>
            </w:r>
            <w:r>
              <w:rPr>
                <w:rFonts w:ascii="Times New Roman" w:cs="Times New Roman" w:eastAsiaTheme="minorEastAsia"/>
                <w:kern w:val="2"/>
              </w:rPr>
              <w:t>（见附件4）</w:t>
            </w:r>
            <w:r>
              <w:rPr>
                <w:rFonts w:hint="eastAsia" w:ascii="Times New Roman" w:cs="Times New Roman" w:eastAsiaTheme="minorEastAsia"/>
                <w:kern w:val="2"/>
              </w:rPr>
              <w:t>。</w:t>
            </w:r>
            <w:r>
              <w:rPr>
                <w:rFonts w:ascii="Times New Roman" w:cs="Times New Roman" w:eastAsiaTheme="minorEastAsia"/>
                <w:kern w:val="2"/>
              </w:rPr>
              <w:t>大气现状监测数据见表3-2。</w:t>
            </w:r>
          </w:p>
          <w:p>
            <w:pPr>
              <w:pStyle w:val="243"/>
              <w:spacing w:line="500" w:lineRule="exact"/>
              <w:ind w:firstLine="0" w:firstLineChars="0"/>
              <w:jc w:val="center"/>
              <w:rPr>
                <w:rFonts w:hAnsi="Times New Roman" w:cs="Times New Roman"/>
                <w:b/>
                <w:color w:val="000000"/>
              </w:rPr>
            </w:pPr>
            <w:r>
              <w:rPr>
                <w:rFonts w:hAnsi="Times New Roman" w:cs="Times New Roman"/>
                <w:b/>
                <w:color w:val="000000"/>
              </w:rPr>
              <w:t>表3-2大气监测因子日均浓度统计分析一览表</w:t>
            </w:r>
          </w:p>
          <w:tbl>
            <w:tblPr>
              <w:tblStyle w:val="40"/>
              <w:tblW w:w="90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1"/>
              <w:gridCol w:w="1874"/>
              <w:gridCol w:w="894"/>
              <w:gridCol w:w="1473"/>
              <w:gridCol w:w="1658"/>
              <w:gridCol w:w="669"/>
              <w:gridCol w:w="893"/>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61" w:type="dxa"/>
                  <w:vMerge w:val="restart"/>
                  <w:tcBorders>
                    <w:tl2br w:val="nil"/>
                    <w:tr2bl w:val="nil"/>
                  </w:tcBorders>
                  <w:vAlign w:val="center"/>
                </w:tcPr>
                <w:p>
                  <w:pPr>
                    <w:pStyle w:val="244"/>
                  </w:pPr>
                  <w:r>
                    <w:rPr>
                      <w:rFonts w:hint="eastAsia"/>
                    </w:rPr>
                    <w:t>编号</w:t>
                  </w:r>
                </w:p>
              </w:tc>
              <w:tc>
                <w:tcPr>
                  <w:tcW w:w="1874" w:type="dxa"/>
                  <w:vMerge w:val="restart"/>
                  <w:tcBorders>
                    <w:tl2br w:val="nil"/>
                    <w:tr2bl w:val="nil"/>
                  </w:tcBorders>
                  <w:vAlign w:val="center"/>
                </w:tcPr>
                <w:p>
                  <w:pPr>
                    <w:pStyle w:val="244"/>
                  </w:pPr>
                  <w:r>
                    <w:t>监测点位</w:t>
                  </w:r>
                </w:p>
              </w:tc>
              <w:tc>
                <w:tcPr>
                  <w:tcW w:w="894" w:type="dxa"/>
                  <w:vMerge w:val="restart"/>
                  <w:tcBorders>
                    <w:tl2br w:val="nil"/>
                    <w:tr2bl w:val="nil"/>
                  </w:tcBorders>
                  <w:vAlign w:val="center"/>
                </w:tcPr>
                <w:p>
                  <w:pPr>
                    <w:pStyle w:val="244"/>
                  </w:pPr>
                  <w:r>
                    <w:t>监测</w:t>
                  </w:r>
                </w:p>
                <w:p>
                  <w:pPr>
                    <w:pStyle w:val="244"/>
                  </w:pPr>
                  <w:r>
                    <w:t>项目</w:t>
                  </w:r>
                </w:p>
              </w:tc>
              <w:tc>
                <w:tcPr>
                  <w:tcW w:w="1473" w:type="dxa"/>
                  <w:vMerge w:val="restart"/>
                  <w:tcBorders>
                    <w:tl2br w:val="nil"/>
                    <w:tr2bl w:val="nil"/>
                  </w:tcBorders>
                  <w:vAlign w:val="center"/>
                </w:tcPr>
                <w:p>
                  <w:pPr>
                    <w:pStyle w:val="244"/>
                  </w:pPr>
                  <w:r>
                    <w:t>标准日均值</w:t>
                  </w:r>
                </w:p>
                <w:p>
                  <w:pPr>
                    <w:pStyle w:val="244"/>
                  </w:pPr>
                  <w:r>
                    <w:t>（ug /m</w:t>
                  </w:r>
                  <w:r>
                    <w:rPr>
                      <w:vertAlign w:val="superscript"/>
                    </w:rPr>
                    <w:t>3</w:t>
                  </w:r>
                  <w:r>
                    <w:t>）</w:t>
                  </w:r>
                </w:p>
              </w:tc>
              <w:tc>
                <w:tcPr>
                  <w:tcW w:w="1658" w:type="dxa"/>
                  <w:vMerge w:val="restart"/>
                  <w:tcBorders>
                    <w:tl2br w:val="nil"/>
                    <w:tr2bl w:val="nil"/>
                  </w:tcBorders>
                  <w:vAlign w:val="center"/>
                </w:tcPr>
                <w:p>
                  <w:pPr>
                    <w:pStyle w:val="244"/>
                  </w:pPr>
                  <w:r>
                    <w:t>日均浓度范围</w:t>
                  </w:r>
                </w:p>
                <w:p>
                  <w:pPr>
                    <w:pStyle w:val="244"/>
                  </w:pPr>
                  <w:r>
                    <w:t>（ug /m</w:t>
                  </w:r>
                  <w:r>
                    <w:rPr>
                      <w:vertAlign w:val="superscript"/>
                    </w:rPr>
                    <w:t>3</w:t>
                  </w:r>
                  <w:r>
                    <w:t>）</w:t>
                  </w:r>
                </w:p>
              </w:tc>
              <w:tc>
                <w:tcPr>
                  <w:tcW w:w="1562" w:type="dxa"/>
                  <w:gridSpan w:val="2"/>
                  <w:tcBorders>
                    <w:tl2br w:val="nil"/>
                    <w:tr2bl w:val="nil"/>
                  </w:tcBorders>
                  <w:vAlign w:val="center"/>
                </w:tcPr>
                <w:p>
                  <w:pPr>
                    <w:pStyle w:val="244"/>
                  </w:pPr>
                  <w:r>
                    <w:t>超标情况</w:t>
                  </w:r>
                </w:p>
              </w:tc>
              <w:tc>
                <w:tcPr>
                  <w:tcW w:w="1134" w:type="dxa"/>
                  <w:vMerge w:val="restart"/>
                  <w:tcBorders>
                    <w:tl2br w:val="nil"/>
                    <w:tr2bl w:val="nil"/>
                  </w:tcBorders>
                  <w:vAlign w:val="center"/>
                </w:tcPr>
                <w:p>
                  <w:pPr>
                    <w:pStyle w:val="244"/>
                  </w:pPr>
                  <w:r>
                    <w:t>最大浓度占标率%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61" w:type="dxa"/>
                  <w:vMerge w:val="continue"/>
                  <w:tcBorders>
                    <w:tl2br w:val="nil"/>
                    <w:tr2bl w:val="nil"/>
                  </w:tcBorders>
                  <w:vAlign w:val="center"/>
                </w:tcPr>
                <w:p>
                  <w:pPr>
                    <w:pStyle w:val="244"/>
                  </w:pPr>
                </w:p>
              </w:tc>
              <w:tc>
                <w:tcPr>
                  <w:tcW w:w="1874" w:type="dxa"/>
                  <w:vMerge w:val="continue"/>
                  <w:tcBorders>
                    <w:tl2br w:val="nil"/>
                    <w:tr2bl w:val="nil"/>
                  </w:tcBorders>
                  <w:vAlign w:val="center"/>
                </w:tcPr>
                <w:p>
                  <w:pPr>
                    <w:pStyle w:val="244"/>
                  </w:pPr>
                </w:p>
              </w:tc>
              <w:tc>
                <w:tcPr>
                  <w:tcW w:w="894" w:type="dxa"/>
                  <w:vMerge w:val="continue"/>
                  <w:tcBorders>
                    <w:tl2br w:val="nil"/>
                    <w:tr2bl w:val="nil"/>
                  </w:tcBorders>
                  <w:vAlign w:val="center"/>
                </w:tcPr>
                <w:p>
                  <w:pPr>
                    <w:pStyle w:val="244"/>
                  </w:pPr>
                </w:p>
              </w:tc>
              <w:tc>
                <w:tcPr>
                  <w:tcW w:w="1473" w:type="dxa"/>
                  <w:vMerge w:val="continue"/>
                  <w:tcBorders>
                    <w:tl2br w:val="nil"/>
                    <w:tr2bl w:val="nil"/>
                  </w:tcBorders>
                  <w:vAlign w:val="center"/>
                </w:tcPr>
                <w:p>
                  <w:pPr>
                    <w:pStyle w:val="244"/>
                  </w:pPr>
                </w:p>
              </w:tc>
              <w:tc>
                <w:tcPr>
                  <w:tcW w:w="1658" w:type="dxa"/>
                  <w:vMerge w:val="continue"/>
                  <w:tcBorders>
                    <w:tl2br w:val="nil"/>
                    <w:tr2bl w:val="nil"/>
                  </w:tcBorders>
                  <w:vAlign w:val="center"/>
                </w:tcPr>
                <w:p>
                  <w:pPr>
                    <w:pStyle w:val="244"/>
                  </w:pPr>
                </w:p>
              </w:tc>
              <w:tc>
                <w:tcPr>
                  <w:tcW w:w="669" w:type="dxa"/>
                  <w:tcBorders>
                    <w:tl2br w:val="nil"/>
                    <w:tr2bl w:val="nil"/>
                  </w:tcBorders>
                  <w:vAlign w:val="center"/>
                </w:tcPr>
                <w:p>
                  <w:pPr>
                    <w:pStyle w:val="244"/>
                  </w:pPr>
                  <w:r>
                    <w:t>超标</w:t>
                  </w:r>
                </w:p>
                <w:p>
                  <w:pPr>
                    <w:pStyle w:val="244"/>
                  </w:pPr>
                  <w:r>
                    <w:t>个数</w:t>
                  </w:r>
                </w:p>
              </w:tc>
              <w:tc>
                <w:tcPr>
                  <w:tcW w:w="893" w:type="dxa"/>
                  <w:tcBorders>
                    <w:tl2br w:val="nil"/>
                    <w:tr2bl w:val="nil"/>
                  </w:tcBorders>
                  <w:vAlign w:val="center"/>
                </w:tcPr>
                <w:p>
                  <w:pPr>
                    <w:pStyle w:val="244"/>
                  </w:pPr>
                  <w:r>
                    <w:t>超标率（％）</w:t>
                  </w:r>
                </w:p>
              </w:tc>
              <w:tc>
                <w:tcPr>
                  <w:tcW w:w="1134" w:type="dxa"/>
                  <w:vMerge w:val="continue"/>
                  <w:tcBorders>
                    <w:tl2br w:val="nil"/>
                    <w:tr2bl w:val="nil"/>
                  </w:tcBorders>
                  <w:vAlign w:val="center"/>
                </w:tcPr>
                <w:p>
                  <w:pPr>
                    <w:pStyle w:val="244"/>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61" w:type="dxa"/>
                  <w:tcBorders>
                    <w:tl2br w:val="nil"/>
                    <w:tr2bl w:val="nil"/>
                  </w:tcBorders>
                  <w:vAlign w:val="center"/>
                </w:tcPr>
                <w:p>
                  <w:pPr>
                    <w:pStyle w:val="244"/>
                  </w:pPr>
                  <w:r>
                    <w:rPr>
                      <w:rFonts w:hint="eastAsia"/>
                    </w:rPr>
                    <w:t>1#</w:t>
                  </w:r>
                </w:p>
              </w:tc>
              <w:tc>
                <w:tcPr>
                  <w:tcW w:w="1874" w:type="dxa"/>
                  <w:tcBorders>
                    <w:tl2br w:val="nil"/>
                    <w:tr2bl w:val="nil"/>
                  </w:tcBorders>
                  <w:vAlign w:val="center"/>
                </w:tcPr>
                <w:p>
                  <w:pPr>
                    <w:pStyle w:val="244"/>
                  </w:pPr>
                  <w:r>
                    <w:rPr>
                      <w:rFonts w:hint="eastAsia"/>
                    </w:rPr>
                    <w:t>厂址</w:t>
                  </w:r>
                </w:p>
              </w:tc>
              <w:tc>
                <w:tcPr>
                  <w:tcW w:w="894" w:type="dxa"/>
                  <w:vMerge w:val="restart"/>
                  <w:tcBorders>
                    <w:tl2br w:val="nil"/>
                    <w:tr2bl w:val="nil"/>
                  </w:tcBorders>
                  <w:vAlign w:val="center"/>
                </w:tcPr>
                <w:p>
                  <w:pPr>
                    <w:pStyle w:val="244"/>
                  </w:pPr>
                  <w:r>
                    <w:t>TSP</w:t>
                  </w:r>
                </w:p>
              </w:tc>
              <w:tc>
                <w:tcPr>
                  <w:tcW w:w="1473" w:type="dxa"/>
                  <w:vMerge w:val="restart"/>
                  <w:tcBorders>
                    <w:tl2br w:val="nil"/>
                    <w:tr2bl w:val="nil"/>
                  </w:tcBorders>
                  <w:vAlign w:val="center"/>
                </w:tcPr>
                <w:p>
                  <w:pPr>
                    <w:pStyle w:val="244"/>
                  </w:pPr>
                  <w:r>
                    <w:t>300</w:t>
                  </w:r>
                </w:p>
              </w:tc>
              <w:tc>
                <w:tcPr>
                  <w:tcW w:w="1658" w:type="dxa"/>
                  <w:tcBorders>
                    <w:tl2br w:val="nil"/>
                    <w:tr2bl w:val="nil"/>
                  </w:tcBorders>
                  <w:vAlign w:val="center"/>
                </w:tcPr>
                <w:p>
                  <w:pPr>
                    <w:pStyle w:val="244"/>
                  </w:pPr>
                  <w:r>
                    <w:rPr>
                      <w:rFonts w:hint="eastAsia"/>
                    </w:rPr>
                    <w:t>156~226</w:t>
                  </w:r>
                </w:p>
              </w:tc>
              <w:tc>
                <w:tcPr>
                  <w:tcW w:w="669" w:type="dxa"/>
                  <w:tcBorders>
                    <w:tl2br w:val="nil"/>
                    <w:tr2bl w:val="nil"/>
                  </w:tcBorders>
                  <w:vAlign w:val="center"/>
                </w:tcPr>
                <w:p>
                  <w:pPr>
                    <w:pStyle w:val="244"/>
                  </w:pPr>
                  <w:r>
                    <w:t>0</w:t>
                  </w:r>
                </w:p>
              </w:tc>
              <w:tc>
                <w:tcPr>
                  <w:tcW w:w="893" w:type="dxa"/>
                  <w:tcBorders>
                    <w:tl2br w:val="nil"/>
                    <w:tr2bl w:val="nil"/>
                  </w:tcBorders>
                  <w:vAlign w:val="center"/>
                </w:tcPr>
                <w:p>
                  <w:pPr>
                    <w:pStyle w:val="244"/>
                  </w:pPr>
                  <w:r>
                    <w:t>0</w:t>
                  </w:r>
                </w:p>
              </w:tc>
              <w:tc>
                <w:tcPr>
                  <w:tcW w:w="1134" w:type="dxa"/>
                  <w:tcBorders>
                    <w:tl2br w:val="nil"/>
                    <w:tr2bl w:val="nil"/>
                  </w:tcBorders>
                  <w:vAlign w:val="center"/>
                </w:tcPr>
                <w:p>
                  <w:pPr>
                    <w:pStyle w:val="244"/>
                  </w:pPr>
                  <w:r>
                    <w:rPr>
                      <w:rFonts w:hint="eastAsia"/>
                    </w:rPr>
                    <w:t>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61" w:type="dxa"/>
                  <w:tcBorders>
                    <w:tl2br w:val="nil"/>
                    <w:tr2bl w:val="nil"/>
                  </w:tcBorders>
                  <w:vAlign w:val="center"/>
                </w:tcPr>
                <w:p>
                  <w:pPr>
                    <w:pStyle w:val="244"/>
                  </w:pPr>
                  <w:r>
                    <w:rPr>
                      <w:rFonts w:hint="eastAsia"/>
                    </w:rPr>
                    <w:t>2#</w:t>
                  </w:r>
                </w:p>
              </w:tc>
              <w:tc>
                <w:tcPr>
                  <w:tcW w:w="1874" w:type="dxa"/>
                  <w:tcBorders>
                    <w:tl2br w:val="nil"/>
                    <w:tr2bl w:val="nil"/>
                  </w:tcBorders>
                  <w:vAlign w:val="center"/>
                </w:tcPr>
                <w:p>
                  <w:pPr>
                    <w:pStyle w:val="244"/>
                  </w:pPr>
                  <w:r>
                    <w:rPr>
                      <w:rFonts w:hint="eastAsia"/>
                    </w:rPr>
                    <w:t>上政化村</w:t>
                  </w:r>
                </w:p>
              </w:tc>
              <w:tc>
                <w:tcPr>
                  <w:tcW w:w="894" w:type="dxa"/>
                  <w:vMerge w:val="continue"/>
                  <w:tcBorders>
                    <w:tl2br w:val="nil"/>
                    <w:tr2bl w:val="nil"/>
                  </w:tcBorders>
                  <w:vAlign w:val="center"/>
                </w:tcPr>
                <w:p>
                  <w:pPr>
                    <w:spacing w:line="380" w:lineRule="exact"/>
                    <w:jc w:val="center"/>
                    <w:rPr>
                      <w:rFonts w:ascii="Times New Roman" w:hAnsi="Times New Roman" w:cs="Times New Roman"/>
                      <w:szCs w:val="21"/>
                    </w:rPr>
                  </w:pPr>
                </w:p>
              </w:tc>
              <w:tc>
                <w:tcPr>
                  <w:tcW w:w="1473" w:type="dxa"/>
                  <w:vMerge w:val="continue"/>
                  <w:tcBorders>
                    <w:tl2br w:val="nil"/>
                    <w:tr2bl w:val="nil"/>
                  </w:tcBorders>
                  <w:vAlign w:val="center"/>
                </w:tcPr>
                <w:p>
                  <w:pPr>
                    <w:pStyle w:val="244"/>
                  </w:pPr>
                </w:p>
              </w:tc>
              <w:tc>
                <w:tcPr>
                  <w:tcW w:w="1658" w:type="dxa"/>
                  <w:tcBorders>
                    <w:tl2br w:val="nil"/>
                    <w:tr2bl w:val="nil"/>
                  </w:tcBorders>
                  <w:vAlign w:val="center"/>
                </w:tcPr>
                <w:p>
                  <w:pPr>
                    <w:pStyle w:val="244"/>
                  </w:pPr>
                  <w:r>
                    <w:rPr>
                      <w:rFonts w:hint="eastAsia"/>
                    </w:rPr>
                    <w:t>190~233</w:t>
                  </w:r>
                </w:p>
              </w:tc>
              <w:tc>
                <w:tcPr>
                  <w:tcW w:w="669" w:type="dxa"/>
                  <w:tcBorders>
                    <w:tl2br w:val="nil"/>
                    <w:tr2bl w:val="nil"/>
                  </w:tcBorders>
                  <w:vAlign w:val="center"/>
                </w:tcPr>
                <w:p>
                  <w:pPr>
                    <w:pStyle w:val="244"/>
                  </w:pPr>
                  <w:r>
                    <w:t>0</w:t>
                  </w:r>
                </w:p>
              </w:tc>
              <w:tc>
                <w:tcPr>
                  <w:tcW w:w="893" w:type="dxa"/>
                  <w:tcBorders>
                    <w:tl2br w:val="nil"/>
                    <w:tr2bl w:val="nil"/>
                  </w:tcBorders>
                  <w:vAlign w:val="center"/>
                </w:tcPr>
                <w:p>
                  <w:pPr>
                    <w:pStyle w:val="244"/>
                  </w:pPr>
                  <w:r>
                    <w:t>0</w:t>
                  </w:r>
                </w:p>
              </w:tc>
              <w:tc>
                <w:tcPr>
                  <w:tcW w:w="1134" w:type="dxa"/>
                  <w:tcBorders>
                    <w:tl2br w:val="nil"/>
                    <w:tr2bl w:val="nil"/>
                  </w:tcBorders>
                  <w:vAlign w:val="center"/>
                </w:tcPr>
                <w:p>
                  <w:pPr>
                    <w:pStyle w:val="244"/>
                  </w:pPr>
                  <w:r>
                    <w:rPr>
                      <w:rFonts w:hint="eastAsia"/>
                    </w:rPr>
                    <w:t>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61" w:type="dxa"/>
                  <w:tcBorders>
                    <w:tl2br w:val="nil"/>
                    <w:tr2bl w:val="nil"/>
                  </w:tcBorders>
                  <w:vAlign w:val="center"/>
                </w:tcPr>
                <w:p>
                  <w:pPr>
                    <w:pStyle w:val="244"/>
                  </w:pPr>
                  <w:r>
                    <w:rPr>
                      <w:rFonts w:hint="eastAsia"/>
                    </w:rPr>
                    <w:t>3#</w:t>
                  </w:r>
                </w:p>
              </w:tc>
              <w:tc>
                <w:tcPr>
                  <w:tcW w:w="1874" w:type="dxa"/>
                  <w:tcBorders>
                    <w:tl2br w:val="nil"/>
                    <w:tr2bl w:val="nil"/>
                  </w:tcBorders>
                  <w:vAlign w:val="center"/>
                </w:tcPr>
                <w:p>
                  <w:pPr>
                    <w:pStyle w:val="244"/>
                  </w:pPr>
                  <w:r>
                    <w:rPr>
                      <w:rFonts w:hint="eastAsia"/>
                    </w:rPr>
                    <w:t>北龙王堂村</w:t>
                  </w:r>
                </w:p>
              </w:tc>
              <w:tc>
                <w:tcPr>
                  <w:tcW w:w="894" w:type="dxa"/>
                  <w:vMerge w:val="continue"/>
                  <w:tcBorders>
                    <w:tl2br w:val="nil"/>
                    <w:tr2bl w:val="nil"/>
                  </w:tcBorders>
                  <w:vAlign w:val="center"/>
                </w:tcPr>
                <w:p>
                  <w:pPr>
                    <w:spacing w:line="380" w:lineRule="exact"/>
                    <w:jc w:val="center"/>
                    <w:rPr>
                      <w:rFonts w:ascii="Times New Roman" w:hAnsi="Times New Roman" w:cs="Times New Roman"/>
                      <w:szCs w:val="21"/>
                    </w:rPr>
                  </w:pPr>
                </w:p>
              </w:tc>
              <w:tc>
                <w:tcPr>
                  <w:tcW w:w="1473" w:type="dxa"/>
                  <w:vMerge w:val="continue"/>
                  <w:tcBorders>
                    <w:tl2br w:val="nil"/>
                    <w:tr2bl w:val="nil"/>
                  </w:tcBorders>
                  <w:vAlign w:val="center"/>
                </w:tcPr>
                <w:p>
                  <w:pPr>
                    <w:pStyle w:val="244"/>
                  </w:pPr>
                </w:p>
              </w:tc>
              <w:tc>
                <w:tcPr>
                  <w:tcW w:w="1658" w:type="dxa"/>
                  <w:tcBorders>
                    <w:tl2br w:val="nil"/>
                    <w:tr2bl w:val="nil"/>
                  </w:tcBorders>
                  <w:vAlign w:val="center"/>
                </w:tcPr>
                <w:p>
                  <w:pPr>
                    <w:pStyle w:val="244"/>
                  </w:pPr>
                  <w:r>
                    <w:rPr>
                      <w:rFonts w:hint="eastAsia"/>
                    </w:rPr>
                    <w:t>175~219</w:t>
                  </w:r>
                </w:p>
              </w:tc>
              <w:tc>
                <w:tcPr>
                  <w:tcW w:w="669" w:type="dxa"/>
                  <w:tcBorders>
                    <w:tl2br w:val="nil"/>
                    <w:tr2bl w:val="nil"/>
                  </w:tcBorders>
                  <w:vAlign w:val="center"/>
                </w:tcPr>
                <w:p>
                  <w:pPr>
                    <w:pStyle w:val="244"/>
                  </w:pPr>
                  <w:r>
                    <w:t>0</w:t>
                  </w:r>
                </w:p>
              </w:tc>
              <w:tc>
                <w:tcPr>
                  <w:tcW w:w="893" w:type="dxa"/>
                  <w:tcBorders>
                    <w:tl2br w:val="nil"/>
                    <w:tr2bl w:val="nil"/>
                  </w:tcBorders>
                  <w:vAlign w:val="center"/>
                </w:tcPr>
                <w:p>
                  <w:pPr>
                    <w:pStyle w:val="244"/>
                  </w:pPr>
                  <w:r>
                    <w:t>0</w:t>
                  </w:r>
                </w:p>
              </w:tc>
              <w:tc>
                <w:tcPr>
                  <w:tcW w:w="1134" w:type="dxa"/>
                  <w:tcBorders>
                    <w:tl2br w:val="nil"/>
                    <w:tr2bl w:val="nil"/>
                  </w:tcBorders>
                  <w:vAlign w:val="center"/>
                </w:tcPr>
                <w:p>
                  <w:pPr>
                    <w:pStyle w:val="244"/>
                  </w:pPr>
                  <w:r>
                    <w:rPr>
                      <w:rFonts w:hint="eastAsia"/>
                    </w:rPr>
                    <w:t>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61" w:type="dxa"/>
                  <w:tcBorders>
                    <w:tl2br w:val="nil"/>
                    <w:tr2bl w:val="nil"/>
                  </w:tcBorders>
                  <w:vAlign w:val="center"/>
                </w:tcPr>
                <w:p>
                  <w:pPr>
                    <w:pStyle w:val="244"/>
                  </w:pPr>
                  <w:r>
                    <w:rPr>
                      <w:rFonts w:hint="eastAsia"/>
                    </w:rPr>
                    <w:t>1#</w:t>
                  </w:r>
                </w:p>
              </w:tc>
              <w:tc>
                <w:tcPr>
                  <w:tcW w:w="1874" w:type="dxa"/>
                  <w:tcBorders>
                    <w:tl2br w:val="nil"/>
                    <w:tr2bl w:val="nil"/>
                  </w:tcBorders>
                  <w:vAlign w:val="center"/>
                </w:tcPr>
                <w:p>
                  <w:pPr>
                    <w:pStyle w:val="244"/>
                  </w:pPr>
                  <w:r>
                    <w:rPr>
                      <w:rFonts w:hint="eastAsia"/>
                    </w:rPr>
                    <w:t>厂址</w:t>
                  </w:r>
                </w:p>
              </w:tc>
              <w:tc>
                <w:tcPr>
                  <w:tcW w:w="894" w:type="dxa"/>
                  <w:vMerge w:val="restart"/>
                  <w:tcBorders>
                    <w:tl2br w:val="nil"/>
                    <w:tr2bl w:val="nil"/>
                  </w:tcBorders>
                  <w:vAlign w:val="center"/>
                </w:tcPr>
                <w:p>
                  <w:pPr>
                    <w:pStyle w:val="244"/>
                    <w:rPr>
                      <w:szCs w:val="21"/>
                    </w:rPr>
                  </w:pPr>
                  <w:r>
                    <w:rPr>
                      <w:rFonts w:hint="eastAsia"/>
                    </w:rPr>
                    <w:t>PM</w:t>
                  </w:r>
                  <w:r>
                    <w:rPr>
                      <w:rFonts w:hint="eastAsia"/>
                      <w:vertAlign w:val="subscript"/>
                    </w:rPr>
                    <w:t>10</w:t>
                  </w:r>
                </w:p>
              </w:tc>
              <w:tc>
                <w:tcPr>
                  <w:tcW w:w="1473" w:type="dxa"/>
                  <w:vMerge w:val="restart"/>
                  <w:tcBorders>
                    <w:tl2br w:val="nil"/>
                    <w:tr2bl w:val="nil"/>
                  </w:tcBorders>
                  <w:vAlign w:val="center"/>
                </w:tcPr>
                <w:p>
                  <w:pPr>
                    <w:pStyle w:val="244"/>
                  </w:pPr>
                  <w:r>
                    <w:rPr>
                      <w:rFonts w:hint="eastAsia"/>
                    </w:rPr>
                    <w:t>150</w:t>
                  </w:r>
                </w:p>
              </w:tc>
              <w:tc>
                <w:tcPr>
                  <w:tcW w:w="1658" w:type="dxa"/>
                  <w:tcBorders>
                    <w:tl2br w:val="nil"/>
                    <w:tr2bl w:val="nil"/>
                  </w:tcBorders>
                  <w:vAlign w:val="center"/>
                </w:tcPr>
                <w:p>
                  <w:pPr>
                    <w:pStyle w:val="244"/>
                  </w:pPr>
                  <w:r>
                    <w:rPr>
                      <w:rFonts w:hint="eastAsia"/>
                    </w:rPr>
                    <w:t>97~126</w:t>
                  </w:r>
                </w:p>
              </w:tc>
              <w:tc>
                <w:tcPr>
                  <w:tcW w:w="669" w:type="dxa"/>
                  <w:tcBorders>
                    <w:tl2br w:val="nil"/>
                    <w:tr2bl w:val="nil"/>
                  </w:tcBorders>
                  <w:vAlign w:val="center"/>
                </w:tcPr>
                <w:p>
                  <w:pPr>
                    <w:pStyle w:val="244"/>
                  </w:pPr>
                  <w:r>
                    <w:t>0</w:t>
                  </w:r>
                </w:p>
              </w:tc>
              <w:tc>
                <w:tcPr>
                  <w:tcW w:w="893" w:type="dxa"/>
                  <w:tcBorders>
                    <w:tl2br w:val="nil"/>
                    <w:tr2bl w:val="nil"/>
                  </w:tcBorders>
                  <w:vAlign w:val="center"/>
                </w:tcPr>
                <w:p>
                  <w:pPr>
                    <w:pStyle w:val="244"/>
                  </w:pPr>
                  <w:r>
                    <w:t>0</w:t>
                  </w:r>
                </w:p>
              </w:tc>
              <w:tc>
                <w:tcPr>
                  <w:tcW w:w="1134" w:type="dxa"/>
                  <w:tcBorders>
                    <w:tl2br w:val="nil"/>
                    <w:tr2bl w:val="nil"/>
                  </w:tcBorders>
                  <w:vAlign w:val="center"/>
                </w:tcPr>
                <w:p>
                  <w:pPr>
                    <w:pStyle w:val="244"/>
                  </w:pPr>
                  <w:r>
                    <w:rPr>
                      <w:rFonts w:hint="eastAsia"/>
                    </w:rPr>
                    <w:t>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61" w:type="dxa"/>
                  <w:tcBorders>
                    <w:tl2br w:val="nil"/>
                    <w:tr2bl w:val="nil"/>
                  </w:tcBorders>
                  <w:vAlign w:val="center"/>
                </w:tcPr>
                <w:p>
                  <w:pPr>
                    <w:pStyle w:val="244"/>
                  </w:pPr>
                  <w:r>
                    <w:rPr>
                      <w:rFonts w:hint="eastAsia"/>
                    </w:rPr>
                    <w:t>2#</w:t>
                  </w:r>
                </w:p>
              </w:tc>
              <w:tc>
                <w:tcPr>
                  <w:tcW w:w="1874" w:type="dxa"/>
                  <w:tcBorders>
                    <w:tl2br w:val="nil"/>
                    <w:tr2bl w:val="nil"/>
                  </w:tcBorders>
                  <w:vAlign w:val="center"/>
                </w:tcPr>
                <w:p>
                  <w:pPr>
                    <w:pStyle w:val="244"/>
                  </w:pPr>
                  <w:r>
                    <w:rPr>
                      <w:rFonts w:hint="eastAsia"/>
                    </w:rPr>
                    <w:t>上政化村</w:t>
                  </w:r>
                </w:p>
              </w:tc>
              <w:tc>
                <w:tcPr>
                  <w:tcW w:w="894" w:type="dxa"/>
                  <w:vMerge w:val="continue"/>
                  <w:tcBorders>
                    <w:tl2br w:val="nil"/>
                    <w:tr2bl w:val="nil"/>
                  </w:tcBorders>
                  <w:vAlign w:val="center"/>
                </w:tcPr>
                <w:p>
                  <w:pPr>
                    <w:spacing w:line="380" w:lineRule="exact"/>
                    <w:jc w:val="center"/>
                    <w:rPr>
                      <w:rFonts w:ascii="Times New Roman" w:hAnsi="Times New Roman" w:cs="Times New Roman"/>
                      <w:szCs w:val="21"/>
                    </w:rPr>
                  </w:pPr>
                </w:p>
              </w:tc>
              <w:tc>
                <w:tcPr>
                  <w:tcW w:w="1473" w:type="dxa"/>
                  <w:vMerge w:val="continue"/>
                  <w:tcBorders>
                    <w:tl2br w:val="nil"/>
                    <w:tr2bl w:val="nil"/>
                  </w:tcBorders>
                  <w:vAlign w:val="center"/>
                </w:tcPr>
                <w:p>
                  <w:pPr>
                    <w:pStyle w:val="244"/>
                  </w:pPr>
                </w:p>
              </w:tc>
              <w:tc>
                <w:tcPr>
                  <w:tcW w:w="1658" w:type="dxa"/>
                  <w:tcBorders>
                    <w:tl2br w:val="nil"/>
                    <w:tr2bl w:val="nil"/>
                  </w:tcBorders>
                  <w:vAlign w:val="center"/>
                </w:tcPr>
                <w:p>
                  <w:pPr>
                    <w:pStyle w:val="244"/>
                  </w:pPr>
                  <w:r>
                    <w:rPr>
                      <w:rFonts w:hint="eastAsia"/>
                    </w:rPr>
                    <w:t>113~128</w:t>
                  </w:r>
                </w:p>
              </w:tc>
              <w:tc>
                <w:tcPr>
                  <w:tcW w:w="669" w:type="dxa"/>
                  <w:tcBorders>
                    <w:tl2br w:val="nil"/>
                    <w:tr2bl w:val="nil"/>
                  </w:tcBorders>
                  <w:vAlign w:val="center"/>
                </w:tcPr>
                <w:p>
                  <w:pPr>
                    <w:pStyle w:val="244"/>
                  </w:pPr>
                  <w:r>
                    <w:t>0</w:t>
                  </w:r>
                </w:p>
              </w:tc>
              <w:tc>
                <w:tcPr>
                  <w:tcW w:w="893" w:type="dxa"/>
                  <w:tcBorders>
                    <w:tl2br w:val="nil"/>
                    <w:tr2bl w:val="nil"/>
                  </w:tcBorders>
                  <w:vAlign w:val="center"/>
                </w:tcPr>
                <w:p>
                  <w:pPr>
                    <w:pStyle w:val="244"/>
                  </w:pPr>
                  <w:r>
                    <w:t>0</w:t>
                  </w:r>
                </w:p>
              </w:tc>
              <w:tc>
                <w:tcPr>
                  <w:tcW w:w="1134" w:type="dxa"/>
                  <w:tcBorders>
                    <w:tl2br w:val="nil"/>
                    <w:tr2bl w:val="nil"/>
                  </w:tcBorders>
                  <w:vAlign w:val="center"/>
                </w:tcPr>
                <w:p>
                  <w:pPr>
                    <w:pStyle w:val="244"/>
                  </w:pPr>
                  <w:r>
                    <w:rPr>
                      <w:rFonts w:hint="eastAsia"/>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61" w:type="dxa"/>
                  <w:tcBorders>
                    <w:tl2br w:val="nil"/>
                    <w:tr2bl w:val="nil"/>
                  </w:tcBorders>
                  <w:vAlign w:val="center"/>
                </w:tcPr>
                <w:p>
                  <w:pPr>
                    <w:pStyle w:val="244"/>
                  </w:pPr>
                  <w:r>
                    <w:rPr>
                      <w:rFonts w:hint="eastAsia"/>
                    </w:rPr>
                    <w:t>3#</w:t>
                  </w:r>
                </w:p>
              </w:tc>
              <w:tc>
                <w:tcPr>
                  <w:tcW w:w="1874" w:type="dxa"/>
                  <w:tcBorders>
                    <w:tl2br w:val="nil"/>
                    <w:tr2bl w:val="nil"/>
                  </w:tcBorders>
                  <w:vAlign w:val="center"/>
                </w:tcPr>
                <w:p>
                  <w:pPr>
                    <w:pStyle w:val="244"/>
                  </w:pPr>
                  <w:r>
                    <w:rPr>
                      <w:rFonts w:hint="eastAsia"/>
                    </w:rPr>
                    <w:t>北龙王堂村</w:t>
                  </w:r>
                </w:p>
              </w:tc>
              <w:tc>
                <w:tcPr>
                  <w:tcW w:w="894" w:type="dxa"/>
                  <w:vMerge w:val="continue"/>
                  <w:tcBorders>
                    <w:tl2br w:val="nil"/>
                    <w:tr2bl w:val="nil"/>
                  </w:tcBorders>
                  <w:vAlign w:val="center"/>
                </w:tcPr>
                <w:p>
                  <w:pPr>
                    <w:spacing w:line="380" w:lineRule="exact"/>
                    <w:jc w:val="center"/>
                    <w:rPr>
                      <w:rFonts w:ascii="Times New Roman" w:hAnsi="Times New Roman" w:cs="Times New Roman"/>
                      <w:szCs w:val="21"/>
                    </w:rPr>
                  </w:pPr>
                </w:p>
              </w:tc>
              <w:tc>
                <w:tcPr>
                  <w:tcW w:w="1473" w:type="dxa"/>
                  <w:vMerge w:val="continue"/>
                  <w:tcBorders>
                    <w:tl2br w:val="nil"/>
                    <w:tr2bl w:val="nil"/>
                  </w:tcBorders>
                  <w:vAlign w:val="center"/>
                </w:tcPr>
                <w:p>
                  <w:pPr>
                    <w:pStyle w:val="244"/>
                  </w:pPr>
                </w:p>
              </w:tc>
              <w:tc>
                <w:tcPr>
                  <w:tcW w:w="1658" w:type="dxa"/>
                  <w:tcBorders>
                    <w:tl2br w:val="nil"/>
                    <w:tr2bl w:val="nil"/>
                  </w:tcBorders>
                  <w:vAlign w:val="center"/>
                </w:tcPr>
                <w:p>
                  <w:pPr>
                    <w:pStyle w:val="244"/>
                  </w:pPr>
                  <w:r>
                    <w:rPr>
                      <w:rFonts w:hint="eastAsia"/>
                    </w:rPr>
                    <w:t>104~126</w:t>
                  </w:r>
                </w:p>
              </w:tc>
              <w:tc>
                <w:tcPr>
                  <w:tcW w:w="669" w:type="dxa"/>
                  <w:tcBorders>
                    <w:tl2br w:val="nil"/>
                    <w:tr2bl w:val="nil"/>
                  </w:tcBorders>
                  <w:vAlign w:val="center"/>
                </w:tcPr>
                <w:p>
                  <w:pPr>
                    <w:pStyle w:val="244"/>
                  </w:pPr>
                  <w:r>
                    <w:t>0</w:t>
                  </w:r>
                </w:p>
              </w:tc>
              <w:tc>
                <w:tcPr>
                  <w:tcW w:w="893" w:type="dxa"/>
                  <w:tcBorders>
                    <w:tl2br w:val="nil"/>
                    <w:tr2bl w:val="nil"/>
                  </w:tcBorders>
                  <w:vAlign w:val="center"/>
                </w:tcPr>
                <w:p>
                  <w:pPr>
                    <w:pStyle w:val="244"/>
                  </w:pPr>
                  <w:r>
                    <w:t>0</w:t>
                  </w:r>
                </w:p>
              </w:tc>
              <w:tc>
                <w:tcPr>
                  <w:tcW w:w="1134" w:type="dxa"/>
                  <w:tcBorders>
                    <w:tl2br w:val="nil"/>
                    <w:tr2bl w:val="nil"/>
                  </w:tcBorders>
                  <w:vAlign w:val="center"/>
                </w:tcPr>
                <w:p>
                  <w:pPr>
                    <w:pStyle w:val="244"/>
                  </w:pPr>
                  <w:r>
                    <w:rPr>
                      <w:rFonts w:hint="eastAsia"/>
                    </w:rPr>
                    <w:t>84</w:t>
                  </w:r>
                </w:p>
              </w:tc>
            </w:tr>
          </w:tbl>
          <w:p>
            <w:pPr>
              <w:pStyle w:val="243"/>
              <w:spacing w:before="156" w:beforeLines="50" w:line="500" w:lineRule="exact"/>
              <w:ind w:firstLine="480"/>
              <w:rPr>
                <w:rFonts w:hAnsi="Times New Roman" w:cs="Times New Roman"/>
                <w:color w:val="000000"/>
              </w:rPr>
            </w:pPr>
            <w:r>
              <w:rPr>
                <w:rFonts w:hAnsi="Times New Roman" w:cs="Times New Roman"/>
                <w:color w:val="000000"/>
              </w:rPr>
              <w:t>根据监测统计结果，监测点</w:t>
            </w:r>
            <w:r>
              <w:rPr>
                <w:rFonts w:hAnsi="Times New Roman" w:cs="Times New Roman"/>
                <w:color w:val="000000"/>
                <w:szCs w:val="28"/>
              </w:rPr>
              <w:t>TSP</w:t>
            </w:r>
            <w:r>
              <w:rPr>
                <w:rFonts w:hint="eastAsia" w:hAnsi="Times New Roman" w:cs="Times New Roman"/>
                <w:color w:val="000000"/>
                <w:szCs w:val="28"/>
              </w:rPr>
              <w:t>、PM</w:t>
            </w:r>
            <w:r>
              <w:rPr>
                <w:rFonts w:hint="eastAsia" w:hAnsi="Times New Roman" w:cs="Times New Roman"/>
                <w:color w:val="000000"/>
                <w:szCs w:val="28"/>
                <w:vertAlign w:val="subscript"/>
              </w:rPr>
              <w:t>10</w:t>
            </w:r>
            <w:r>
              <w:rPr>
                <w:rFonts w:hAnsi="Times New Roman" w:cs="Times New Roman"/>
                <w:color w:val="000000"/>
                <w:szCs w:val="28"/>
              </w:rPr>
              <w:t>能够达到</w:t>
            </w:r>
            <w:r>
              <w:rPr>
                <w:rFonts w:hAnsi="Times New Roman" w:cs="Times New Roman"/>
              </w:rPr>
              <w:t>《环境空气质量标准》（GB3095-2012）二级标准要求，表明项目区环境空气质量可以达标</w:t>
            </w:r>
            <w:r>
              <w:rPr>
                <w:rFonts w:hint="eastAsia" w:hAnsi="Times New Roman" w:cs="Times New Roman"/>
              </w:rPr>
              <w:t>。</w:t>
            </w:r>
          </w:p>
          <w:p>
            <w:pPr>
              <w:tabs>
                <w:tab w:val="left" w:pos="7755"/>
              </w:tabs>
              <w:snapToGrid w:val="0"/>
              <w:spacing w:line="500" w:lineRule="exact"/>
              <w:ind w:firstLine="482" w:firstLineChars="200"/>
              <w:rPr>
                <w:rFonts w:ascii="Times New Roman" w:hAnsi="Times New Roman" w:cs="Times New Roman"/>
                <w:b/>
                <w:bCs/>
                <w:sz w:val="24"/>
                <w:szCs w:val="24"/>
              </w:rPr>
            </w:pPr>
            <w:r>
              <w:rPr>
                <w:rFonts w:ascii="Times New Roman" w:hAnsi="Times New Roman" w:cs="Times New Roman"/>
                <w:b/>
                <w:sz w:val="24"/>
                <w:szCs w:val="24"/>
              </w:rPr>
              <w:t>2、地表水环境质量现状</w:t>
            </w:r>
          </w:p>
          <w:p>
            <w:pPr>
              <w:spacing w:line="500" w:lineRule="exact"/>
              <w:ind w:firstLine="480" w:firstLineChars="200"/>
              <w:rPr>
                <w:rFonts w:ascii="Times New Roman" w:hAnsi="Times New Roman" w:cs="Times New Roman"/>
                <w:bCs/>
                <w:sz w:val="24"/>
                <w:szCs w:val="24"/>
              </w:rPr>
            </w:pPr>
            <w:r>
              <w:rPr>
                <w:rFonts w:ascii="Times New Roman" w:hAnsi="Times New Roman" w:cs="Times New Roman"/>
                <w:sz w:val="24"/>
                <w:szCs w:val="24"/>
              </w:rPr>
              <w:t>距离本项目最近的地表水体为滹沱河</w:t>
            </w:r>
            <w:r>
              <w:rPr>
                <w:rFonts w:hint="eastAsia" w:ascii="Times New Roman" w:hAnsi="Times New Roman" w:cs="Times New Roman"/>
                <w:sz w:val="24"/>
                <w:szCs w:val="24"/>
              </w:rPr>
              <w:t>，距离本项目西北侧约2670m</w:t>
            </w:r>
            <w:r>
              <w:rPr>
                <w:rFonts w:ascii="Times New Roman" w:hAnsi="Times New Roman" w:cs="Times New Roman"/>
                <w:sz w:val="24"/>
                <w:szCs w:val="24"/>
              </w:rPr>
              <w:t>。</w:t>
            </w:r>
            <w:r>
              <w:rPr>
                <w:rFonts w:hint="eastAsia" w:ascii="Times New Roman" w:hAnsi="Times New Roman" w:eastAsia="宋体" w:cs="Times New Roman"/>
                <w:bCs/>
                <w:sz w:val="24"/>
                <w:szCs w:val="24"/>
              </w:rPr>
              <w:t>项目所在地地表水属下茹越水库出口-济胜桥，监控断面为小寨，属于工业用水保护，执行《地表水环境质量标准》（GB3838-2002）中</w:t>
            </w:r>
            <w:r>
              <w:rPr>
                <w:rFonts w:ascii="Times New Roman" w:hAnsi="Times New Roman" w:eastAsia="宋体" w:cs="Times New Roman"/>
                <w:bCs/>
                <w:szCs w:val="21"/>
              </w:rPr>
              <w:t>Ⅳ</w:t>
            </w:r>
            <w:r>
              <w:rPr>
                <w:rFonts w:hint="eastAsia" w:ascii="Times New Roman" w:hAnsi="Times New Roman" w:eastAsia="宋体" w:cs="Times New Roman"/>
                <w:bCs/>
                <w:sz w:val="24"/>
                <w:szCs w:val="24"/>
              </w:rPr>
              <w:t>类水质标准</w:t>
            </w:r>
            <w:r>
              <w:rPr>
                <w:rFonts w:ascii="Times New Roman" w:hAnsi="Times New Roman" w:eastAsia="宋体" w:cs="Times New Roman"/>
                <w:bCs/>
                <w:sz w:val="24"/>
                <w:szCs w:val="24"/>
              </w:rPr>
              <w:t>。</w:t>
            </w:r>
          </w:p>
          <w:p>
            <w:pPr>
              <w:pStyle w:val="239"/>
              <w:spacing w:line="500" w:lineRule="exact"/>
              <w:ind w:firstLine="482" w:firstLineChars="200"/>
              <w:jc w:val="both"/>
              <w:rPr>
                <w:rFonts w:eastAsiaTheme="minorEastAsia"/>
                <w:b/>
                <w:szCs w:val="24"/>
              </w:rPr>
            </w:pPr>
            <w:r>
              <w:rPr>
                <w:rFonts w:eastAsiaTheme="minorEastAsia"/>
                <w:b/>
                <w:szCs w:val="24"/>
              </w:rPr>
              <w:t>3、 声环境质量现状</w:t>
            </w:r>
          </w:p>
          <w:p>
            <w:pPr>
              <w:spacing w:line="500" w:lineRule="exact"/>
              <w:ind w:firstLine="480" w:firstLineChars="200"/>
              <w:rPr>
                <w:rFonts w:ascii="Times New Roman" w:cs="Times New Roman"/>
                <w:sz w:val="24"/>
                <w:szCs w:val="24"/>
              </w:rPr>
            </w:pPr>
            <w:r>
              <w:rPr>
                <w:rFonts w:ascii="Times New Roman" w:cs="Times New Roman"/>
                <w:sz w:val="24"/>
                <w:szCs w:val="24"/>
              </w:rPr>
              <w:t>为了解项目所在区域声环境质量现状，</w:t>
            </w:r>
            <w:r>
              <w:rPr>
                <w:rFonts w:hint="eastAsia" w:ascii="Times New Roman" w:cs="Times New Roman"/>
                <w:sz w:val="24"/>
                <w:szCs w:val="24"/>
              </w:rPr>
              <w:t>企业</w:t>
            </w:r>
            <w:r>
              <w:rPr>
                <w:rFonts w:ascii="Times New Roman" w:cs="Times New Roman"/>
                <w:sz w:val="24"/>
                <w:szCs w:val="24"/>
              </w:rPr>
              <w:t>委托</w:t>
            </w:r>
            <w:r>
              <w:rPr>
                <w:rFonts w:hint="eastAsia" w:ascii="Times New Roman" w:cs="Times New Roman"/>
                <w:sz w:val="24"/>
                <w:szCs w:val="24"/>
              </w:rPr>
              <w:t>山西昌兴同创安全技术服务有限公司</w:t>
            </w:r>
            <w:r>
              <w:rPr>
                <w:rFonts w:ascii="Times New Roman" w:cs="Times New Roman"/>
                <w:sz w:val="24"/>
                <w:szCs w:val="24"/>
              </w:rPr>
              <w:t>于20</w:t>
            </w:r>
            <w:r>
              <w:rPr>
                <w:rFonts w:hint="eastAsia" w:ascii="Times New Roman" w:cs="Times New Roman"/>
                <w:sz w:val="24"/>
                <w:szCs w:val="24"/>
              </w:rPr>
              <w:t>20</w:t>
            </w:r>
            <w:r>
              <w:rPr>
                <w:rFonts w:ascii="Times New Roman" w:cs="Times New Roman"/>
                <w:sz w:val="24"/>
                <w:szCs w:val="24"/>
              </w:rPr>
              <w:t>年</w:t>
            </w:r>
            <w:r>
              <w:rPr>
                <w:rFonts w:hint="eastAsia" w:ascii="Times New Roman" w:cs="Times New Roman"/>
                <w:sz w:val="24"/>
                <w:szCs w:val="24"/>
              </w:rPr>
              <w:t>10</w:t>
            </w:r>
            <w:r>
              <w:rPr>
                <w:rFonts w:ascii="Times New Roman" w:cs="Times New Roman"/>
                <w:sz w:val="24"/>
                <w:szCs w:val="24"/>
              </w:rPr>
              <w:t>月</w:t>
            </w:r>
            <w:r>
              <w:rPr>
                <w:rFonts w:hint="eastAsia" w:ascii="Times New Roman" w:cs="Times New Roman"/>
                <w:sz w:val="24"/>
                <w:szCs w:val="24"/>
              </w:rPr>
              <w:t>2</w:t>
            </w:r>
            <w:r>
              <w:rPr>
                <w:rFonts w:ascii="Times New Roman" w:cs="Times New Roman"/>
                <w:sz w:val="24"/>
                <w:szCs w:val="24"/>
              </w:rPr>
              <w:t>日对声环境质量现状进行了监测（见附件</w:t>
            </w:r>
            <w:r>
              <w:rPr>
                <w:rFonts w:hint="eastAsia" w:ascii="Times New Roman" w:cs="Times New Roman"/>
                <w:sz w:val="24"/>
                <w:szCs w:val="24"/>
              </w:rPr>
              <w:t>6</w:t>
            </w:r>
            <w:r>
              <w:rPr>
                <w:rFonts w:ascii="Times New Roman" w:cs="Times New Roman"/>
                <w:sz w:val="24"/>
                <w:szCs w:val="24"/>
              </w:rPr>
              <w:t>），分别在项目厂址东、南、西、北四侧，共布设4</w:t>
            </w:r>
            <w:r>
              <w:rPr>
                <w:rFonts w:hint="eastAsia" w:ascii="Times New Roman" w:cs="Times New Roman"/>
                <w:sz w:val="24"/>
                <w:szCs w:val="24"/>
              </w:rPr>
              <w:t>个</w:t>
            </w:r>
            <w:r>
              <w:rPr>
                <w:rFonts w:ascii="Times New Roman" w:cs="Times New Roman"/>
                <w:sz w:val="24"/>
                <w:szCs w:val="24"/>
              </w:rPr>
              <w:t>监测点。噪声现状监测结果统计见表</w:t>
            </w:r>
            <w:r>
              <w:rPr>
                <w:rFonts w:hint="eastAsia" w:ascii="Times New Roman" w:cs="Times New Roman"/>
                <w:sz w:val="24"/>
                <w:szCs w:val="24"/>
              </w:rPr>
              <w:t>3-</w:t>
            </w:r>
            <w:r>
              <w:rPr>
                <w:rFonts w:ascii="Times New Roman" w:cs="Times New Roman"/>
                <w:sz w:val="24"/>
                <w:szCs w:val="24"/>
              </w:rPr>
              <w:t>3。噪声监测点位见图</w:t>
            </w:r>
            <w:r>
              <w:rPr>
                <w:rFonts w:hint="eastAsia" w:ascii="Times New Roman" w:cs="Times New Roman"/>
                <w:sz w:val="24"/>
                <w:szCs w:val="24"/>
              </w:rPr>
              <w:t>3-1</w:t>
            </w:r>
            <w:r>
              <w:rPr>
                <w:rFonts w:ascii="Times New Roman" w:cs="Times New Roman"/>
                <w:sz w:val="24"/>
                <w:szCs w:val="24"/>
              </w:rPr>
              <w:t>。</w:t>
            </w:r>
          </w:p>
          <w:p>
            <w:pPr>
              <w:spacing w:line="500" w:lineRule="exact"/>
              <w:jc w:val="center"/>
              <w:rPr>
                <w:rFonts w:ascii="Times New Roman" w:hAnsi="Times New Roman" w:cs="Times New Roman"/>
                <w:b/>
                <w:kern w:val="0"/>
                <w:sz w:val="24"/>
                <w:szCs w:val="24"/>
              </w:rPr>
            </w:pPr>
            <w:r>
              <w:rPr>
                <w:rFonts w:ascii="Times New Roman" w:hAnsi="Times New Roman" w:cs="Times New Roman"/>
                <w:b/>
                <w:kern w:val="0"/>
                <w:sz w:val="24"/>
                <w:szCs w:val="24"/>
              </w:rPr>
              <w:t>表3-3 现状监测结果表（单位：dB(A)）</w:t>
            </w:r>
          </w:p>
          <w:tbl>
            <w:tblPr>
              <w:tblStyle w:val="40"/>
              <w:tblW w:w="90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18"/>
              <w:gridCol w:w="569"/>
              <w:gridCol w:w="967"/>
              <w:gridCol w:w="1027"/>
              <w:gridCol w:w="1027"/>
              <w:gridCol w:w="1024"/>
              <w:gridCol w:w="1030"/>
              <w:gridCol w:w="855"/>
              <w:gridCol w:w="1027"/>
              <w:gridCol w:w="101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日期</w:t>
                  </w:r>
                </w:p>
              </w:tc>
              <w:tc>
                <w:tcPr>
                  <w:tcW w:w="569"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点位</w:t>
                  </w:r>
                </w:p>
              </w:tc>
              <w:tc>
                <w:tcPr>
                  <w:tcW w:w="4045" w:type="dxa"/>
                  <w:gridSpan w:val="4"/>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昼间</w:t>
                  </w:r>
                </w:p>
              </w:tc>
              <w:tc>
                <w:tcPr>
                  <w:tcW w:w="3924" w:type="dxa"/>
                  <w:gridSpan w:val="4"/>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夜间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dxa"/>
                  <w:vMerge w:val="continue"/>
                  <w:tcBorders>
                    <w:tl2br w:val="nil"/>
                    <w:tr2bl w:val="nil"/>
                  </w:tcBorders>
                  <w:vAlign w:val="center"/>
                </w:tcPr>
                <w:p>
                  <w:pPr>
                    <w:jc w:val="center"/>
                    <w:rPr>
                      <w:rFonts w:ascii="Times New Roman" w:hAnsi="Times New Roman" w:cs="Times New Roman"/>
                      <w:b/>
                      <w:szCs w:val="21"/>
                    </w:rPr>
                  </w:pPr>
                </w:p>
              </w:tc>
              <w:tc>
                <w:tcPr>
                  <w:tcW w:w="569" w:type="dxa"/>
                  <w:vMerge w:val="continue"/>
                  <w:tcBorders>
                    <w:tl2br w:val="nil"/>
                    <w:tr2bl w:val="nil"/>
                  </w:tcBorders>
                  <w:vAlign w:val="center"/>
                </w:tcPr>
                <w:p>
                  <w:pPr>
                    <w:jc w:val="center"/>
                    <w:rPr>
                      <w:rFonts w:ascii="Times New Roman" w:hAnsi="Times New Roman" w:cs="Times New Roman"/>
                      <w:b/>
                      <w:szCs w:val="21"/>
                    </w:rPr>
                  </w:pPr>
                </w:p>
              </w:tc>
              <w:tc>
                <w:tcPr>
                  <w:tcW w:w="967" w:type="dxa"/>
                  <w:tcBorders>
                    <w:tl2br w:val="nil"/>
                    <w:tr2bl w:val="nil"/>
                  </w:tcBorders>
                  <w:vAlign w:val="center"/>
                </w:tcPr>
                <w:p>
                  <w:pPr>
                    <w:jc w:val="center"/>
                    <w:rPr>
                      <w:rFonts w:ascii="Times New Roman" w:hAnsi="Times New Roman" w:cs="Times New Roman"/>
                      <w:b/>
                      <w:szCs w:val="21"/>
                    </w:rPr>
                  </w:pPr>
                  <w:r>
                    <w:rPr>
                      <w:rFonts w:ascii="Times New Roman" w:hAnsi="Times New Roman" w:eastAsia="宋体" w:cs="Times New Roman"/>
                      <w:szCs w:val="21"/>
                    </w:rPr>
                    <w:t>L</w:t>
                  </w:r>
                  <w:r>
                    <w:rPr>
                      <w:rFonts w:ascii="Times New Roman" w:hAnsi="Times New Roman" w:eastAsia="宋体" w:cs="Times New Roman"/>
                      <w:szCs w:val="21"/>
                      <w:vertAlign w:val="subscript"/>
                    </w:rPr>
                    <w:t>eq</w:t>
                  </w:r>
                </w:p>
              </w:tc>
              <w:tc>
                <w:tcPr>
                  <w:tcW w:w="1027" w:type="dxa"/>
                  <w:tcBorders>
                    <w:tl2br w:val="nil"/>
                    <w:tr2bl w:val="nil"/>
                  </w:tcBorders>
                  <w:vAlign w:val="center"/>
                </w:tcPr>
                <w:p>
                  <w:pPr>
                    <w:jc w:val="center"/>
                    <w:rPr>
                      <w:rFonts w:ascii="Times New Roman" w:hAnsi="Times New Roman" w:cs="Times New Roman"/>
                      <w:b/>
                      <w:szCs w:val="21"/>
                    </w:rPr>
                  </w:pPr>
                  <w:r>
                    <w:rPr>
                      <w:rFonts w:ascii="Times New Roman" w:hAnsi="Times New Roman" w:eastAsia="宋体" w:cs="Times New Roman"/>
                      <w:szCs w:val="21"/>
                    </w:rPr>
                    <w:t>L</w:t>
                  </w:r>
                  <w:r>
                    <w:rPr>
                      <w:rFonts w:ascii="Times New Roman" w:hAnsi="Times New Roman" w:eastAsia="宋体" w:cs="Times New Roman"/>
                      <w:szCs w:val="21"/>
                      <w:vertAlign w:val="subscript"/>
                    </w:rPr>
                    <w:t>10</w:t>
                  </w:r>
                </w:p>
              </w:tc>
              <w:tc>
                <w:tcPr>
                  <w:tcW w:w="1027" w:type="dxa"/>
                  <w:tcBorders>
                    <w:tl2br w:val="nil"/>
                    <w:tr2bl w:val="nil"/>
                  </w:tcBorders>
                  <w:vAlign w:val="center"/>
                </w:tcPr>
                <w:p>
                  <w:pPr>
                    <w:jc w:val="center"/>
                    <w:rPr>
                      <w:rFonts w:ascii="Times New Roman" w:hAnsi="Times New Roman" w:cs="Times New Roman"/>
                      <w:b/>
                      <w:szCs w:val="21"/>
                    </w:rPr>
                  </w:pPr>
                  <w:r>
                    <w:rPr>
                      <w:rFonts w:ascii="Times New Roman" w:hAnsi="Times New Roman" w:eastAsia="宋体" w:cs="Times New Roman"/>
                      <w:szCs w:val="21"/>
                    </w:rPr>
                    <w:t>L</w:t>
                  </w:r>
                  <w:r>
                    <w:rPr>
                      <w:rFonts w:ascii="Times New Roman" w:hAnsi="Times New Roman" w:eastAsia="宋体" w:cs="Times New Roman"/>
                      <w:szCs w:val="21"/>
                      <w:vertAlign w:val="subscript"/>
                    </w:rPr>
                    <w:t>50</w:t>
                  </w:r>
                </w:p>
              </w:tc>
              <w:tc>
                <w:tcPr>
                  <w:tcW w:w="1024" w:type="dxa"/>
                  <w:tcBorders>
                    <w:tl2br w:val="nil"/>
                    <w:tr2bl w:val="nil"/>
                  </w:tcBorders>
                  <w:vAlign w:val="center"/>
                </w:tcPr>
                <w:p>
                  <w:pPr>
                    <w:jc w:val="center"/>
                    <w:rPr>
                      <w:rFonts w:ascii="Times New Roman" w:hAnsi="Times New Roman" w:cs="Times New Roman"/>
                      <w:b/>
                      <w:szCs w:val="21"/>
                    </w:rPr>
                  </w:pPr>
                  <w:r>
                    <w:rPr>
                      <w:rFonts w:ascii="Times New Roman" w:hAnsi="Times New Roman" w:eastAsia="宋体" w:cs="Times New Roman"/>
                      <w:szCs w:val="21"/>
                    </w:rPr>
                    <w:t>L</w:t>
                  </w:r>
                  <w:r>
                    <w:rPr>
                      <w:rFonts w:ascii="Times New Roman" w:hAnsi="Times New Roman" w:eastAsia="宋体" w:cs="Times New Roman"/>
                      <w:szCs w:val="21"/>
                      <w:vertAlign w:val="subscript"/>
                    </w:rPr>
                    <w:t>90</w:t>
                  </w:r>
                </w:p>
              </w:tc>
              <w:tc>
                <w:tcPr>
                  <w:tcW w:w="1030" w:type="dxa"/>
                  <w:tcBorders>
                    <w:tl2br w:val="nil"/>
                    <w:tr2bl w:val="nil"/>
                  </w:tcBorders>
                  <w:vAlign w:val="center"/>
                </w:tcPr>
                <w:p>
                  <w:pPr>
                    <w:jc w:val="center"/>
                    <w:rPr>
                      <w:rFonts w:ascii="Times New Roman" w:hAnsi="Times New Roman" w:cs="Times New Roman"/>
                      <w:b/>
                      <w:szCs w:val="21"/>
                    </w:rPr>
                  </w:pPr>
                  <w:r>
                    <w:rPr>
                      <w:rFonts w:ascii="Times New Roman" w:hAnsi="Times New Roman" w:eastAsia="宋体" w:cs="Times New Roman"/>
                      <w:szCs w:val="21"/>
                    </w:rPr>
                    <w:t>L</w:t>
                  </w:r>
                  <w:r>
                    <w:rPr>
                      <w:rFonts w:ascii="Times New Roman" w:hAnsi="Times New Roman" w:eastAsia="宋体" w:cs="Times New Roman"/>
                      <w:szCs w:val="21"/>
                      <w:vertAlign w:val="subscript"/>
                    </w:rPr>
                    <w:t>eq</w:t>
                  </w:r>
                </w:p>
              </w:tc>
              <w:tc>
                <w:tcPr>
                  <w:tcW w:w="855" w:type="dxa"/>
                  <w:tcBorders>
                    <w:tl2br w:val="nil"/>
                    <w:tr2bl w:val="nil"/>
                  </w:tcBorders>
                  <w:vAlign w:val="center"/>
                </w:tcPr>
                <w:p>
                  <w:pPr>
                    <w:jc w:val="center"/>
                    <w:rPr>
                      <w:rFonts w:ascii="Times New Roman" w:hAnsi="Times New Roman" w:cs="Times New Roman"/>
                      <w:b/>
                      <w:szCs w:val="21"/>
                    </w:rPr>
                  </w:pPr>
                  <w:r>
                    <w:rPr>
                      <w:rFonts w:ascii="Times New Roman" w:hAnsi="Times New Roman" w:eastAsia="宋体" w:cs="Times New Roman"/>
                      <w:szCs w:val="21"/>
                    </w:rPr>
                    <w:t>L</w:t>
                  </w:r>
                  <w:r>
                    <w:rPr>
                      <w:rFonts w:ascii="Times New Roman" w:hAnsi="Times New Roman" w:eastAsia="宋体" w:cs="Times New Roman"/>
                      <w:szCs w:val="21"/>
                      <w:vertAlign w:val="subscript"/>
                    </w:rPr>
                    <w:t>10</w:t>
                  </w:r>
                </w:p>
              </w:tc>
              <w:tc>
                <w:tcPr>
                  <w:tcW w:w="1027" w:type="dxa"/>
                  <w:tcBorders>
                    <w:tl2br w:val="nil"/>
                    <w:tr2bl w:val="nil"/>
                  </w:tcBorders>
                  <w:vAlign w:val="center"/>
                </w:tcPr>
                <w:p>
                  <w:pPr>
                    <w:jc w:val="center"/>
                    <w:rPr>
                      <w:rFonts w:ascii="Times New Roman" w:hAnsi="Times New Roman" w:cs="Times New Roman"/>
                      <w:b/>
                      <w:szCs w:val="21"/>
                    </w:rPr>
                  </w:pPr>
                  <w:r>
                    <w:rPr>
                      <w:rFonts w:ascii="Times New Roman" w:hAnsi="Times New Roman" w:eastAsia="宋体" w:cs="Times New Roman"/>
                      <w:szCs w:val="21"/>
                    </w:rPr>
                    <w:t>L</w:t>
                  </w:r>
                  <w:r>
                    <w:rPr>
                      <w:rFonts w:ascii="Times New Roman" w:hAnsi="Times New Roman" w:eastAsia="宋体" w:cs="Times New Roman"/>
                      <w:szCs w:val="21"/>
                      <w:vertAlign w:val="subscript"/>
                    </w:rPr>
                    <w:t>50</w:t>
                  </w:r>
                </w:p>
              </w:tc>
              <w:tc>
                <w:tcPr>
                  <w:tcW w:w="1012" w:type="dxa"/>
                  <w:tcBorders>
                    <w:tl2br w:val="nil"/>
                    <w:tr2bl w:val="nil"/>
                  </w:tcBorders>
                  <w:vAlign w:val="center"/>
                </w:tcPr>
                <w:p>
                  <w:pPr>
                    <w:jc w:val="center"/>
                    <w:rPr>
                      <w:rFonts w:ascii="Times New Roman" w:hAnsi="Times New Roman" w:cs="Times New Roman"/>
                      <w:b/>
                      <w:szCs w:val="21"/>
                    </w:rPr>
                  </w:pPr>
                  <w:r>
                    <w:rPr>
                      <w:rFonts w:ascii="Times New Roman" w:hAnsi="Times New Roman" w:eastAsia="宋体" w:cs="Times New Roman"/>
                      <w:szCs w:val="21"/>
                    </w:rPr>
                    <w:t>L</w:t>
                  </w:r>
                  <w:r>
                    <w:rPr>
                      <w:rFonts w:ascii="Times New Roman" w:hAnsi="Times New Roman" w:eastAsia="宋体" w:cs="Times New Roman"/>
                      <w:szCs w:val="21"/>
                      <w:vertAlign w:val="subscript"/>
                    </w:rPr>
                    <w:t>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dxa"/>
                  <w:vMerge w:val="restart"/>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10月2日</w:t>
                  </w:r>
                </w:p>
              </w:tc>
              <w:tc>
                <w:tcPr>
                  <w:tcW w:w="569"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vertAlign w:val="superscript"/>
                    </w:rPr>
                    <w:t>#</w:t>
                  </w:r>
                </w:p>
              </w:tc>
              <w:tc>
                <w:tcPr>
                  <w:tcW w:w="967" w:type="dxa"/>
                  <w:tcBorders>
                    <w:tl2br w:val="nil"/>
                    <w:tr2bl w:val="nil"/>
                  </w:tcBorders>
                  <w:vAlign w:val="center"/>
                </w:tcPr>
                <w:p>
                  <w:pPr>
                    <w:jc w:val="center"/>
                    <w:rPr>
                      <w:rFonts w:ascii="Times New Roman" w:hAnsi="Times New Roman" w:cs="Times New Roman"/>
                      <w:color w:val="000000" w:themeColor="text1"/>
                      <w:szCs w:val="21"/>
                    </w:rPr>
                  </w:pPr>
                  <w:r>
                    <w:rPr>
                      <w:rFonts w:hint="eastAsia" w:ascii="Times New Roman" w:hAnsi="Times New Roman" w:eastAsia="宋体" w:cs="Times New Roman"/>
                      <w:color w:val="000000" w:themeColor="text1"/>
                      <w:szCs w:val="21"/>
                    </w:rPr>
                    <w:t>54.7</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55.5</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51.2</w:t>
                  </w:r>
                </w:p>
              </w:tc>
              <w:tc>
                <w:tcPr>
                  <w:tcW w:w="102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47.9</w:t>
                  </w:r>
                </w:p>
              </w:tc>
              <w:tc>
                <w:tcPr>
                  <w:tcW w:w="103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43.9</w:t>
                  </w:r>
                </w:p>
              </w:tc>
              <w:tc>
                <w:tcPr>
                  <w:tcW w:w="855"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45.9</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42.8</w:t>
                  </w:r>
                </w:p>
              </w:tc>
              <w:tc>
                <w:tcPr>
                  <w:tcW w:w="1012"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dxa"/>
                  <w:vMerge w:val="continue"/>
                  <w:tcBorders>
                    <w:tl2br w:val="nil"/>
                    <w:tr2bl w:val="nil"/>
                  </w:tcBorders>
                  <w:vAlign w:val="center"/>
                </w:tcPr>
                <w:p>
                  <w:pPr>
                    <w:adjustRightInd w:val="0"/>
                    <w:snapToGrid w:val="0"/>
                    <w:ind w:firstLine="105" w:firstLineChars="50"/>
                    <w:jc w:val="center"/>
                    <w:rPr>
                      <w:rFonts w:ascii="Times New Roman" w:hAnsi="Times New Roman" w:cs="Times New Roman"/>
                      <w:szCs w:val="21"/>
                    </w:rPr>
                  </w:pPr>
                </w:p>
              </w:tc>
              <w:tc>
                <w:tcPr>
                  <w:tcW w:w="569"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vertAlign w:val="superscript"/>
                    </w:rPr>
                    <w:t>#</w:t>
                  </w:r>
                </w:p>
              </w:tc>
              <w:tc>
                <w:tcPr>
                  <w:tcW w:w="967" w:type="dxa"/>
                  <w:tcBorders>
                    <w:tl2br w:val="nil"/>
                    <w:tr2bl w:val="nil"/>
                  </w:tcBorders>
                  <w:vAlign w:val="center"/>
                </w:tcPr>
                <w:p>
                  <w:pPr>
                    <w:jc w:val="center"/>
                    <w:rPr>
                      <w:rFonts w:ascii="Times New Roman" w:hAnsi="Times New Roman" w:cs="Times New Roman"/>
                      <w:color w:val="000000" w:themeColor="text1"/>
                      <w:szCs w:val="21"/>
                    </w:rPr>
                  </w:pPr>
                  <w:r>
                    <w:rPr>
                      <w:rFonts w:hint="eastAsia" w:ascii="Times New Roman" w:hAnsi="Times New Roman" w:eastAsia="宋体" w:cs="Times New Roman"/>
                      <w:color w:val="000000" w:themeColor="text1"/>
                      <w:szCs w:val="21"/>
                    </w:rPr>
                    <w:t>53.3</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55.4</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50.7</w:t>
                  </w:r>
                </w:p>
              </w:tc>
              <w:tc>
                <w:tcPr>
                  <w:tcW w:w="102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48.2</w:t>
                  </w:r>
                </w:p>
              </w:tc>
              <w:tc>
                <w:tcPr>
                  <w:tcW w:w="103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43.5</w:t>
                  </w:r>
                </w:p>
              </w:tc>
              <w:tc>
                <w:tcPr>
                  <w:tcW w:w="855"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45.4</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41.1</w:t>
                  </w:r>
                </w:p>
              </w:tc>
              <w:tc>
                <w:tcPr>
                  <w:tcW w:w="1012"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38.6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dxa"/>
                  <w:vMerge w:val="continue"/>
                  <w:tcBorders>
                    <w:tl2br w:val="nil"/>
                    <w:tr2bl w:val="nil"/>
                  </w:tcBorders>
                  <w:vAlign w:val="center"/>
                </w:tcPr>
                <w:p>
                  <w:pPr>
                    <w:adjustRightInd w:val="0"/>
                    <w:snapToGrid w:val="0"/>
                    <w:ind w:firstLine="105" w:firstLineChars="50"/>
                    <w:jc w:val="center"/>
                    <w:rPr>
                      <w:rFonts w:ascii="Times New Roman" w:hAnsi="Times New Roman" w:cs="Times New Roman"/>
                      <w:szCs w:val="21"/>
                    </w:rPr>
                  </w:pPr>
                </w:p>
              </w:tc>
              <w:tc>
                <w:tcPr>
                  <w:tcW w:w="569"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vertAlign w:val="superscript"/>
                    </w:rPr>
                    <w:t>#</w:t>
                  </w:r>
                </w:p>
              </w:tc>
              <w:tc>
                <w:tcPr>
                  <w:tcW w:w="967" w:type="dxa"/>
                  <w:tcBorders>
                    <w:tl2br w:val="nil"/>
                    <w:tr2bl w:val="nil"/>
                  </w:tcBorders>
                  <w:vAlign w:val="center"/>
                </w:tcPr>
                <w:p>
                  <w:pPr>
                    <w:jc w:val="center"/>
                    <w:rPr>
                      <w:rFonts w:ascii="Times New Roman" w:hAnsi="Times New Roman" w:cs="Times New Roman"/>
                      <w:color w:val="000000" w:themeColor="text1"/>
                      <w:szCs w:val="21"/>
                    </w:rPr>
                  </w:pPr>
                  <w:r>
                    <w:rPr>
                      <w:rFonts w:hint="eastAsia" w:ascii="Times New Roman" w:hAnsi="Times New Roman" w:eastAsia="宋体" w:cs="Times New Roman"/>
                      <w:color w:val="000000" w:themeColor="text1"/>
                      <w:szCs w:val="21"/>
                    </w:rPr>
                    <w:t>52.4</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55.6</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43.8</w:t>
                  </w:r>
                </w:p>
              </w:tc>
              <w:tc>
                <w:tcPr>
                  <w:tcW w:w="102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37.8</w:t>
                  </w:r>
                </w:p>
              </w:tc>
              <w:tc>
                <w:tcPr>
                  <w:tcW w:w="103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41.9</w:t>
                  </w:r>
                </w:p>
              </w:tc>
              <w:tc>
                <w:tcPr>
                  <w:tcW w:w="855"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43.2</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40.1</w:t>
                  </w:r>
                </w:p>
              </w:tc>
              <w:tc>
                <w:tcPr>
                  <w:tcW w:w="1012"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38.0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dxa"/>
                  <w:vMerge w:val="continue"/>
                  <w:tcBorders>
                    <w:tl2br w:val="nil"/>
                    <w:tr2bl w:val="nil"/>
                  </w:tcBorders>
                  <w:vAlign w:val="center"/>
                </w:tcPr>
                <w:p>
                  <w:pPr>
                    <w:adjustRightInd w:val="0"/>
                    <w:snapToGrid w:val="0"/>
                    <w:ind w:firstLine="105" w:firstLineChars="50"/>
                    <w:jc w:val="center"/>
                    <w:rPr>
                      <w:rFonts w:ascii="Times New Roman" w:hAnsi="Times New Roman" w:cs="Times New Roman"/>
                      <w:szCs w:val="21"/>
                    </w:rPr>
                  </w:pPr>
                </w:p>
              </w:tc>
              <w:tc>
                <w:tcPr>
                  <w:tcW w:w="569"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vertAlign w:val="superscript"/>
                    </w:rPr>
                    <w:t>#</w:t>
                  </w:r>
                </w:p>
              </w:tc>
              <w:tc>
                <w:tcPr>
                  <w:tcW w:w="967" w:type="dxa"/>
                  <w:tcBorders>
                    <w:tl2br w:val="nil"/>
                    <w:tr2bl w:val="nil"/>
                  </w:tcBorders>
                  <w:vAlign w:val="center"/>
                </w:tcPr>
                <w:p>
                  <w:pPr>
                    <w:jc w:val="center"/>
                    <w:rPr>
                      <w:rFonts w:ascii="Times New Roman" w:hAnsi="Times New Roman" w:cs="Times New Roman"/>
                      <w:color w:val="000000" w:themeColor="text1"/>
                      <w:szCs w:val="21"/>
                    </w:rPr>
                  </w:pPr>
                  <w:r>
                    <w:rPr>
                      <w:rFonts w:hint="eastAsia" w:ascii="Times New Roman" w:hAnsi="Times New Roman" w:eastAsia="宋体" w:cs="Times New Roman"/>
                      <w:color w:val="000000" w:themeColor="text1"/>
                      <w:szCs w:val="21"/>
                    </w:rPr>
                    <w:t>52.0</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54.3</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43.0</w:t>
                  </w:r>
                </w:p>
              </w:tc>
              <w:tc>
                <w:tcPr>
                  <w:tcW w:w="102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eastAsia="宋体" w:cs="Times New Roman"/>
                      <w:szCs w:val="21"/>
                    </w:rPr>
                    <w:t>37.9</w:t>
                  </w:r>
                </w:p>
              </w:tc>
              <w:tc>
                <w:tcPr>
                  <w:tcW w:w="103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42.0</w:t>
                  </w:r>
                </w:p>
              </w:tc>
              <w:tc>
                <w:tcPr>
                  <w:tcW w:w="855"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44.4</w:t>
                  </w:r>
                </w:p>
              </w:tc>
              <w:tc>
                <w:tcPr>
                  <w:tcW w:w="102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40.8</w:t>
                  </w:r>
                </w:p>
              </w:tc>
              <w:tc>
                <w:tcPr>
                  <w:tcW w:w="1012"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38.8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7" w:type="dxa"/>
                  <w:gridSpan w:val="2"/>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备注</w:t>
                  </w:r>
                </w:p>
              </w:tc>
              <w:tc>
                <w:tcPr>
                  <w:tcW w:w="7969" w:type="dxa"/>
                  <w:gridSpan w:val="8"/>
                  <w:tcBorders>
                    <w:tl2br w:val="nil"/>
                    <w:tr2bl w:val="nil"/>
                  </w:tcBorders>
                </w:tcPr>
                <w:p>
                  <w:pPr>
                    <w:adjustRightInd w:val="0"/>
                    <w:snapToGrid w:val="0"/>
                    <w:jc w:val="center"/>
                    <w:rPr>
                      <w:rFonts w:ascii="Times New Roman" w:hAnsi="Times New Roman" w:cs="Times New Roman"/>
                      <w:szCs w:val="21"/>
                    </w:rPr>
                  </w:pPr>
                  <w:r>
                    <w:rPr>
                      <w:rFonts w:ascii="Times New Roman" w:hAnsi="Times New Roman" w:cs="Times New Roman"/>
                      <w:szCs w:val="21"/>
                    </w:rPr>
                    <w:t>昼间、夜间：晴天、风速&lt;</w:t>
                  </w:r>
                  <w:r>
                    <w:rPr>
                      <w:rFonts w:ascii="Times New Roman" w:hAnsi="Times New Roman" w:cs="Times New Roman"/>
                      <w:szCs w:val="21"/>
                    </w:rPr>
                    <w:cr/>
                  </w:r>
                  <w:r>
                    <w:rPr>
                      <w:rFonts w:ascii="Times New Roman" w:hAnsi="Times New Roman" w:cs="Times New Roman"/>
                      <w:szCs w:val="21"/>
                    </w:rPr>
                    <w:t xml:space="preserve">5.0m/s </w:t>
                  </w:r>
                </w:p>
              </w:tc>
            </w:tr>
          </w:tbl>
          <w:p>
            <w:pPr>
              <w:pStyle w:val="101"/>
              <w:spacing w:line="500" w:lineRule="exact"/>
              <w:ind w:firstLine="480"/>
              <w:rPr>
                <w:rFonts w:eastAsiaTheme="minorEastAsia"/>
                <w:szCs w:val="24"/>
              </w:rPr>
            </w:pPr>
            <w:r>
              <w:pict>
                <v:group id="_x0000_s1152" o:spid="_x0000_s1152" o:spt="203" style="position:absolute;left:0pt;margin-left:137.1pt;margin-top:30.35pt;height:142.95pt;width:206.95pt;z-index:251660288;mso-width-relative:page;mso-height-relative:page;" coordorigin="7685,337467" coordsize="4139,2859">
                  <o:lock v:ext="edit"/>
                  <v:rect id="_x0000_s1143" o:spid="_x0000_s1143" o:spt="1" style="position:absolute;left:9598;top:339912;height:415;width:577;" stroked="f" coordsize="21600,21600">
                    <v:path/>
                    <v:fill focussize="0,0"/>
                    <v:stroke on="f"/>
                    <v:imagedata o:title=""/>
                    <o:lock v:ext="edit"/>
                    <v:textbox>
                      <w:txbxContent>
                        <w:p>
                          <w:r>
                            <w:rPr>
                              <w:rFonts w:hint="eastAsia"/>
                            </w:rPr>
                            <w:t>2#</w:t>
                          </w:r>
                        </w:p>
                      </w:txbxContent>
                    </v:textbox>
                  </v:rect>
                  <v:rect id="_x0000_s1144" o:spid="_x0000_s1144" o:spt="1" style="position:absolute;left:7685;top:338657;height:415;width:577;" stroked="f" coordsize="21600,21600">
                    <v:path/>
                    <v:fill focussize="0,0"/>
                    <v:stroke on="f"/>
                    <v:imagedata o:title=""/>
                    <o:lock v:ext="edit"/>
                    <v:textbox>
                      <w:txbxContent>
                        <w:p>
                          <w:r>
                            <w:rPr>
                              <w:rFonts w:hint="eastAsia"/>
                            </w:rPr>
                            <w:t>3#</w:t>
                          </w:r>
                        </w:p>
                      </w:txbxContent>
                    </v:textbox>
                  </v:rect>
                  <v:rect id="_x0000_s1145" o:spid="_x0000_s1145" o:spt="1" style="position:absolute;left:11248;top:338667;height:415;width:577;" stroked="f" coordsize="21600,21600">
                    <v:path/>
                    <v:fill focussize="0,0"/>
                    <v:stroke on="f"/>
                    <v:imagedata o:title=""/>
                    <o:lock v:ext="edit"/>
                    <v:textbox>
                      <w:txbxContent>
                        <w:p>
                          <w:r>
                            <w:rPr>
                              <w:rFonts w:hint="eastAsia"/>
                            </w:rPr>
                            <w:t>1#</w:t>
                          </w:r>
                        </w:p>
                      </w:txbxContent>
                    </v:textbox>
                  </v:rect>
                  <v:rect id="_x0000_s1146" o:spid="_x0000_s1146" o:spt="1" style="position:absolute;left:9205;top:337467;height:415;width:577;" stroked="f" coordsize="21600,21600">
                    <v:path/>
                    <v:fill focussize="0,0"/>
                    <v:stroke on="f"/>
                    <v:imagedata o:title=""/>
                    <o:lock v:ext="edit"/>
                    <v:textbox>
                      <w:txbxContent>
                        <w:p>
                          <w:r>
                            <w:rPr>
                              <w:rFonts w:hint="eastAsia"/>
                            </w:rPr>
                            <w:t>4#</w:t>
                          </w:r>
                        </w:p>
                      </w:txbxContent>
                    </v:textbox>
                  </v:rect>
                  <v:rect id="_x0000_s1147" o:spid="_x0000_s1147" o:spt="1" style="position:absolute;left:8365;top:337965;height:1800;width:2688;" coordsize="21600,21600">
                    <v:path/>
                    <v:fill focussize="0,0"/>
                    <v:stroke/>
                    <v:imagedata o:title=""/>
                    <o:lock v:ext="edit"/>
                    <v:textbox>
                      <w:txbxContent>
                        <w:p>
                          <w:pPr>
                            <w:spacing w:line="1200" w:lineRule="auto"/>
                            <w:jc w:val="center"/>
                          </w:pPr>
                          <w:r>
                            <w:rPr>
                              <w:rFonts w:hint="eastAsia"/>
                            </w:rPr>
                            <w:t>项目位置</w:t>
                          </w:r>
                        </w:p>
                      </w:txbxContent>
                    </v:textbox>
                  </v:rect>
                  <v:shape id="_x0000_s1148" o:spid="_x0000_s1148" o:spt="5" type="#_x0000_t5" style="position:absolute;left:8157;top:338819;height:119;width:119;" fillcolor="#000000" filled="t" coordsize="21600,21600">
                    <v:path/>
                    <v:fill on="t" focussize="0,0"/>
                    <v:stroke joinstyle="miter"/>
                    <v:imagedata o:title=""/>
                    <o:lock v:ext="edit"/>
                  </v:shape>
                  <v:shape id="_x0000_s1149" o:spid="_x0000_s1149" o:spt="5" type="#_x0000_t5" style="position:absolute;left:9632;top:337778;height:119;width:119;" fillcolor="#000000" filled="t" coordsize="21600,21600">
                    <v:path/>
                    <v:fill on="t" focussize="0,0"/>
                    <v:stroke joinstyle="miter"/>
                    <v:imagedata o:title=""/>
                    <o:lock v:ext="edit"/>
                  </v:shape>
                  <v:shape id="_x0000_s1150" o:spid="_x0000_s1150" o:spt="5" type="#_x0000_t5" style="position:absolute;left:11094;top:338884;height:119;width:119;" fillcolor="#000000" filled="t" coordsize="21600,21600">
                    <v:path/>
                    <v:fill on="t" focussize="0,0"/>
                    <v:stroke joinstyle="miter"/>
                    <v:imagedata o:title=""/>
                    <o:lock v:ext="edit"/>
                  </v:shape>
                  <v:shape id="_x0000_s1151" o:spid="_x0000_s1151" o:spt="5" type="#_x0000_t5" style="position:absolute;left:9823;top:339805;height:119;width:119;" fillcolor="#000000" filled="t" coordsize="21600,21600">
                    <v:path/>
                    <v:fill on="t" focussize="0,0"/>
                    <v:stroke joinstyle="miter"/>
                    <v:imagedata o:title=""/>
                    <o:lock v:ext="edit"/>
                  </v:shape>
                </v:group>
              </w:pict>
            </w:r>
            <w:r>
              <w:rPr>
                <w:rFonts w:eastAsiaTheme="minorEastAsia"/>
                <w:szCs w:val="24"/>
              </w:rPr>
              <w:t>由监测结果可知，厂界各厂界监测结果均满足《声环境质量标准》（GB3096-2008）中2类标准要求。</w:t>
            </w:r>
          </w:p>
          <w:p>
            <w:pPr>
              <w:pStyle w:val="101"/>
              <w:spacing w:line="500" w:lineRule="exact"/>
              <w:ind w:firstLine="480"/>
              <w:rPr>
                <w:rFonts w:eastAsiaTheme="minorEastAsia"/>
                <w:szCs w:val="24"/>
              </w:rPr>
            </w:pPr>
          </w:p>
          <w:p>
            <w:pPr>
              <w:adjustRightInd w:val="0"/>
              <w:snapToGrid w:val="0"/>
              <w:spacing w:line="500" w:lineRule="exact"/>
              <w:ind w:firstLine="482" w:firstLineChars="200"/>
              <w:rPr>
                <w:rFonts w:ascii="Times New Roman" w:hAnsi="Times New Roman" w:cs="Times New Roman"/>
                <w:b/>
                <w:bCs/>
                <w:kern w:val="0"/>
                <w:sz w:val="24"/>
                <w:szCs w:val="24"/>
              </w:rPr>
            </w:pPr>
          </w:p>
          <w:p>
            <w:pPr>
              <w:adjustRightInd w:val="0"/>
              <w:snapToGrid w:val="0"/>
              <w:spacing w:line="500" w:lineRule="exact"/>
              <w:ind w:firstLine="482" w:firstLineChars="200"/>
              <w:rPr>
                <w:rFonts w:ascii="Times New Roman" w:hAnsi="Times New Roman" w:cs="Times New Roman"/>
                <w:b/>
                <w:bCs/>
                <w:kern w:val="0"/>
                <w:sz w:val="24"/>
                <w:szCs w:val="24"/>
              </w:rPr>
            </w:pPr>
          </w:p>
          <w:p>
            <w:pPr>
              <w:adjustRightInd w:val="0"/>
              <w:snapToGrid w:val="0"/>
              <w:spacing w:line="500" w:lineRule="exact"/>
              <w:ind w:firstLine="482" w:firstLineChars="200"/>
              <w:rPr>
                <w:rFonts w:ascii="Times New Roman" w:hAnsi="Times New Roman" w:cs="Times New Roman"/>
                <w:b/>
                <w:bCs/>
                <w:kern w:val="0"/>
                <w:sz w:val="24"/>
                <w:szCs w:val="24"/>
              </w:rPr>
            </w:pPr>
          </w:p>
          <w:p>
            <w:pPr>
              <w:adjustRightInd w:val="0"/>
              <w:snapToGrid w:val="0"/>
              <w:spacing w:line="500" w:lineRule="exact"/>
              <w:ind w:firstLine="482" w:firstLineChars="200"/>
              <w:rPr>
                <w:rFonts w:ascii="Times New Roman" w:hAnsi="Times New Roman" w:cs="Times New Roman"/>
                <w:b/>
                <w:bCs/>
                <w:kern w:val="0"/>
                <w:sz w:val="24"/>
                <w:szCs w:val="24"/>
              </w:rPr>
            </w:pPr>
          </w:p>
          <w:p>
            <w:pPr>
              <w:adjustRightInd w:val="0"/>
              <w:snapToGrid w:val="0"/>
              <w:spacing w:line="500" w:lineRule="exact"/>
              <w:ind w:firstLine="482" w:firstLineChars="20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图3-1 噪声监测点位示意图</w:t>
            </w:r>
          </w:p>
          <w:p>
            <w:pPr>
              <w:adjustRightInd w:val="0"/>
              <w:snapToGrid w:val="0"/>
              <w:spacing w:line="500" w:lineRule="exact"/>
              <w:ind w:firstLine="482" w:firstLineChars="200"/>
              <w:rPr>
                <w:rFonts w:ascii="Times New Roman" w:hAnsi="Times New Roman" w:cs="Times New Roman"/>
                <w:b/>
                <w:bCs/>
                <w:kern w:val="0"/>
                <w:sz w:val="24"/>
                <w:szCs w:val="24"/>
              </w:rPr>
            </w:pPr>
            <w:r>
              <w:rPr>
                <w:rFonts w:ascii="Times New Roman" w:hAnsi="Times New Roman" w:cs="Times New Roman"/>
                <w:b/>
                <w:bCs/>
                <w:kern w:val="0"/>
                <w:sz w:val="24"/>
                <w:szCs w:val="24"/>
              </w:rPr>
              <w:t>4、 生态环境质量现状</w:t>
            </w:r>
          </w:p>
          <w:p>
            <w:pPr>
              <w:spacing w:line="500" w:lineRule="exact"/>
              <w:ind w:firstLine="480" w:firstLineChars="200"/>
              <w:rPr>
                <w:rFonts w:ascii="Times New Roman" w:hAnsi="Times New Roman" w:cs="Times New Roman"/>
                <w:sz w:val="24"/>
              </w:rPr>
            </w:pPr>
            <w:r>
              <w:rPr>
                <w:rFonts w:ascii="Times New Roman" w:hAnsi="Times New Roman" w:cs="Times New Roman"/>
                <w:sz w:val="24"/>
                <w:szCs w:val="24"/>
              </w:rPr>
              <w:t>本评价区域内主要是以</w:t>
            </w:r>
            <w:r>
              <w:rPr>
                <w:rFonts w:hint="eastAsia" w:ascii="Times New Roman" w:hAnsi="Times New Roman" w:cs="Times New Roman"/>
                <w:sz w:val="24"/>
                <w:szCs w:val="24"/>
              </w:rPr>
              <w:t>农业种植</w:t>
            </w:r>
            <w:r>
              <w:rPr>
                <w:rFonts w:ascii="Times New Roman" w:hAnsi="Times New Roman" w:cs="Times New Roman"/>
                <w:sz w:val="24"/>
                <w:szCs w:val="24"/>
              </w:rPr>
              <w:t>为主的农业生态环境。</w:t>
            </w:r>
            <w:r>
              <w:rPr>
                <w:rFonts w:ascii="Times New Roman" w:hAnsi="Times New Roman" w:cs="Times New Roman"/>
                <w:sz w:val="24"/>
              </w:rPr>
              <w:t>评价区内生物物种较贫乏，植物和动物群落结构均较简单，区内未见珍稀、濒危野生动、植物。</w:t>
            </w:r>
          </w:p>
          <w:p>
            <w:pPr>
              <w:spacing w:line="500" w:lineRule="exact"/>
              <w:ind w:firstLine="482" w:firstLineChars="200"/>
              <w:rPr>
                <w:rFonts w:ascii="Times New Roman" w:hAnsi="Times New Roman" w:cs="Times New Roman"/>
                <w:b/>
                <w:sz w:val="24"/>
              </w:rPr>
            </w:pPr>
            <w:r>
              <w:rPr>
                <w:rFonts w:ascii="Times New Roman" w:hAnsi="Times New Roman" w:cs="Times New Roman"/>
                <w:b/>
                <w:sz w:val="24"/>
              </w:rPr>
              <w:t>5、土壤环境质量现状</w:t>
            </w:r>
          </w:p>
          <w:p>
            <w:pPr>
              <w:spacing w:line="480" w:lineRule="exact"/>
              <w:ind w:firstLine="480"/>
              <w:rPr>
                <w:rFonts w:ascii="Times New Roman" w:hAnsi="Times New Roman" w:cs="Times New Roman"/>
                <w:b/>
                <w:sz w:val="24"/>
                <w:szCs w:val="24"/>
              </w:rPr>
            </w:pPr>
            <w:bookmarkStart w:id="2" w:name="_Toc12371716"/>
            <w:r>
              <w:rPr>
                <w:rFonts w:ascii="Times New Roman" w:hAnsi="Times New Roman" w:cs="Times New Roman"/>
                <w:b/>
                <w:sz w:val="24"/>
                <w:szCs w:val="24"/>
              </w:rPr>
              <w:t>5.1  监测布点</w:t>
            </w:r>
            <w:bookmarkEnd w:id="2"/>
          </w:p>
          <w:p>
            <w:pPr>
              <w:spacing w:line="480" w:lineRule="exact"/>
              <w:ind w:firstLine="480"/>
              <w:rPr>
                <w:rFonts w:ascii="Times New Roman" w:hAnsi="Times New Roman" w:cs="Times New Roman"/>
                <w:sz w:val="24"/>
                <w:szCs w:val="24"/>
              </w:rPr>
            </w:pPr>
            <w:r>
              <w:drawing>
                <wp:anchor distT="0" distB="0" distL="114300" distR="114300" simplePos="0" relativeHeight="251654144" behindDoc="0" locked="0" layoutInCell="1" allowOverlap="1">
                  <wp:simplePos x="0" y="0"/>
                  <wp:positionH relativeFrom="column">
                    <wp:posOffset>1304290</wp:posOffset>
                  </wp:positionH>
                  <wp:positionV relativeFrom="paragraph">
                    <wp:posOffset>591820</wp:posOffset>
                  </wp:positionV>
                  <wp:extent cx="3441065" cy="2564130"/>
                  <wp:effectExtent l="0" t="0" r="6985" b="7620"/>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0"/>
                          <a:stretch>
                            <a:fillRect/>
                          </a:stretch>
                        </pic:blipFill>
                        <pic:spPr>
                          <a:xfrm>
                            <a:off x="0" y="0"/>
                            <a:ext cx="3441065" cy="2564130"/>
                          </a:xfrm>
                          <a:prstGeom prst="rect">
                            <a:avLst/>
                          </a:prstGeom>
                          <a:noFill/>
                          <a:ln>
                            <a:noFill/>
                          </a:ln>
                        </pic:spPr>
                      </pic:pic>
                    </a:graphicData>
                  </a:graphic>
                </wp:anchor>
              </w:drawing>
            </w:r>
            <w:r>
              <w:rPr>
                <w:rFonts w:ascii="Times New Roman" w:hAnsi="Times New Roman" w:cs="Times New Roman"/>
                <w:sz w:val="24"/>
                <w:szCs w:val="24"/>
              </w:rPr>
              <w:t>本次土壤环境质量现状监测在项目厂区内设3</w:t>
            </w:r>
            <w:r>
              <w:rPr>
                <w:rFonts w:hint="eastAsia" w:ascii="Times New Roman" w:hAnsi="Times New Roman" w:cs="Times New Roman"/>
                <w:sz w:val="24"/>
                <w:szCs w:val="24"/>
              </w:rPr>
              <w:t>个</w:t>
            </w:r>
            <w:r>
              <w:rPr>
                <w:rFonts w:ascii="Times New Roman" w:hAnsi="Times New Roman" w:cs="Times New Roman"/>
                <w:sz w:val="24"/>
                <w:szCs w:val="24"/>
              </w:rPr>
              <w:t>表层样点</w:t>
            </w:r>
            <w:bookmarkStart w:id="3" w:name="_Toc348002482"/>
            <w:r>
              <w:rPr>
                <w:rFonts w:ascii="Times New Roman" w:hAnsi="Times New Roman" w:cs="Times New Roman"/>
                <w:sz w:val="24"/>
                <w:szCs w:val="24"/>
              </w:rPr>
              <w:t>，表层样点取0-0.2m土样</w:t>
            </w:r>
            <w:bookmarkEnd w:id="3"/>
            <w:r>
              <w:rPr>
                <w:rFonts w:ascii="Times New Roman" w:hAnsi="Times New Roman" w:cs="Times New Roman"/>
                <w:sz w:val="24"/>
                <w:szCs w:val="24"/>
              </w:rPr>
              <w:t>，监测点平面布置见图3-2。</w:t>
            </w:r>
          </w:p>
          <w:p>
            <w:pPr>
              <w:pStyle w:val="15"/>
              <w:spacing w:before="156"/>
              <w:ind w:firstLine="480"/>
              <w:rPr>
                <w:sz w:val="24"/>
                <w:szCs w:val="24"/>
              </w:rPr>
            </w:pPr>
          </w:p>
          <w:p>
            <w:pPr>
              <w:rPr>
                <w:rFonts w:ascii="Times New Roman" w:hAnsi="Times New Roman" w:cs="Times New Roman"/>
                <w:sz w:val="24"/>
                <w:szCs w:val="24"/>
              </w:rPr>
            </w:pPr>
          </w:p>
          <w:p>
            <w:pPr>
              <w:pStyle w:val="15"/>
              <w:spacing w:before="156"/>
              <w:ind w:firstLine="480"/>
              <w:rPr>
                <w:sz w:val="24"/>
                <w:szCs w:val="24"/>
              </w:rPr>
            </w:pPr>
          </w:p>
          <w:p>
            <w:pPr>
              <w:rPr>
                <w:rFonts w:ascii="Times New Roman" w:hAnsi="Times New Roman" w:cs="Times New Roman"/>
                <w:sz w:val="24"/>
                <w:szCs w:val="24"/>
              </w:rPr>
            </w:pPr>
          </w:p>
          <w:p>
            <w:pPr>
              <w:pStyle w:val="15"/>
              <w:spacing w:before="156"/>
              <w:ind w:firstLine="480"/>
              <w:rPr>
                <w:sz w:val="24"/>
                <w:szCs w:val="24"/>
              </w:rPr>
            </w:pPr>
          </w:p>
          <w:p>
            <w:pPr>
              <w:rPr>
                <w:rFonts w:ascii="Times New Roman" w:hAnsi="Times New Roman" w:cs="Times New Roman"/>
                <w:sz w:val="24"/>
                <w:szCs w:val="24"/>
              </w:rPr>
            </w:pPr>
          </w:p>
          <w:p>
            <w:pPr>
              <w:pStyle w:val="15"/>
              <w:spacing w:before="156"/>
              <w:ind w:firstLine="480"/>
              <w:rPr>
                <w:sz w:val="24"/>
                <w:szCs w:val="24"/>
              </w:rPr>
            </w:pPr>
          </w:p>
          <w:p>
            <w:pPr>
              <w:rPr>
                <w:rFonts w:ascii="Times New Roman" w:hAnsi="Times New Roman" w:cs="Times New Roman"/>
                <w:sz w:val="24"/>
                <w:szCs w:val="24"/>
              </w:rPr>
            </w:pPr>
          </w:p>
          <w:p>
            <w:pPr>
              <w:pStyle w:val="15"/>
              <w:spacing w:before="156"/>
            </w:pPr>
          </w:p>
          <w:p>
            <w:pPr>
              <w:rPr>
                <w:rFonts w:ascii="Times New Roman" w:hAnsi="Times New Roman" w:cs="Times New Roman"/>
                <w:sz w:val="24"/>
                <w:szCs w:val="24"/>
              </w:rPr>
            </w:pPr>
          </w:p>
          <w:p>
            <w:pPr>
              <w:pStyle w:val="2"/>
              <w:rPr>
                <w:rFonts w:ascii="Times New Roman" w:cs="Times New Roman" w:eastAsiaTheme="minorEastAsia"/>
                <w:b/>
              </w:rPr>
            </w:pPr>
          </w:p>
          <w:p>
            <w:pPr>
              <w:pStyle w:val="2"/>
              <w:jc w:val="center"/>
              <w:rPr>
                <w:rFonts w:ascii="Times New Roman" w:cs="Times New Roman" w:eastAsiaTheme="minorEastAsia"/>
                <w:b/>
              </w:rPr>
            </w:pPr>
            <w:r>
              <w:rPr>
                <w:rFonts w:ascii="Times New Roman" w:cs="Times New Roman" w:eastAsiaTheme="minorEastAsia"/>
                <w:b/>
              </w:rPr>
              <w:t>图3-2  土壤环境现状监测布点图</w:t>
            </w:r>
          </w:p>
          <w:p>
            <w:pPr>
              <w:spacing w:line="480" w:lineRule="exact"/>
              <w:ind w:firstLine="480"/>
              <w:rPr>
                <w:rFonts w:ascii="Times New Roman" w:hAnsi="Times New Roman" w:cs="Times New Roman"/>
                <w:b/>
                <w:sz w:val="24"/>
                <w:szCs w:val="24"/>
              </w:rPr>
            </w:pPr>
            <w:bookmarkStart w:id="4" w:name="_Toc12371717"/>
            <w:r>
              <w:rPr>
                <w:rFonts w:ascii="Times New Roman" w:hAnsi="Times New Roman" w:cs="Times New Roman"/>
                <w:b/>
                <w:sz w:val="24"/>
                <w:szCs w:val="24"/>
              </w:rPr>
              <w:t>5.2 监测内容</w:t>
            </w:r>
            <w:bookmarkEnd w:id="4"/>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各</w:t>
            </w:r>
            <w:r>
              <w:rPr>
                <w:rFonts w:hint="eastAsia" w:ascii="Times New Roman" w:hAnsi="Times New Roman" w:eastAsia="宋体" w:cs="Times New Roman"/>
                <w:sz w:val="24"/>
                <w:szCs w:val="24"/>
              </w:rPr>
              <w:t>检测</w:t>
            </w:r>
            <w:r>
              <w:rPr>
                <w:rFonts w:ascii="Times New Roman" w:hAnsi="Times New Roman" w:eastAsia="宋体" w:cs="Times New Roman"/>
                <w:sz w:val="24"/>
                <w:szCs w:val="24"/>
              </w:rPr>
              <w:t>点的监测项目详见表3-4。</w:t>
            </w:r>
          </w:p>
          <w:p>
            <w:pPr>
              <w:spacing w:line="500" w:lineRule="exact"/>
              <w:ind w:firstLine="482"/>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表3-4  各点位监测项目</w:t>
            </w:r>
          </w:p>
          <w:tbl>
            <w:tblPr>
              <w:tblStyle w:val="41"/>
              <w:tblW w:w="9056" w:type="dxa"/>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16"/>
              <w:gridCol w:w="5909"/>
              <w:gridCol w:w="1831"/>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16"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检测</w:t>
                  </w:r>
                  <w:r>
                    <w:rPr>
                      <w:rFonts w:ascii="Times New Roman" w:hAnsi="Times New Roman" w:eastAsia="宋体" w:cs="Times New Roman"/>
                      <w:b/>
                      <w:szCs w:val="21"/>
                    </w:rPr>
                    <w:t>点位</w:t>
                  </w:r>
                </w:p>
              </w:tc>
              <w:tc>
                <w:tcPr>
                  <w:tcW w:w="5909" w:type="dxa"/>
                  <w:tcBorders>
                    <w:top w:val="single" w:color="auto" w:sz="12" w:space="0"/>
                    <w:left w:val="single" w:color="auto" w:sz="6" w:space="0"/>
                    <w:bottom w:val="single" w:color="auto" w:sz="6" w:space="0"/>
                    <w:right w:val="single" w:color="auto" w:sz="6" w:space="0"/>
                  </w:tcBorders>
                  <w:vAlign w:val="center"/>
                </w:tcPr>
                <w:p>
                  <w:pPr>
                    <w:ind w:firstLine="422"/>
                    <w:jc w:val="center"/>
                    <w:rPr>
                      <w:rFonts w:ascii="Times New Roman" w:hAnsi="Times New Roman" w:eastAsia="宋体" w:cs="Times New Roman"/>
                      <w:b/>
                      <w:szCs w:val="21"/>
                    </w:rPr>
                  </w:pPr>
                  <w:r>
                    <w:rPr>
                      <w:rFonts w:hint="eastAsia" w:ascii="Times New Roman" w:hAnsi="Times New Roman" w:eastAsia="宋体" w:cs="Times New Roman"/>
                      <w:b/>
                      <w:szCs w:val="21"/>
                    </w:rPr>
                    <w:t>检测</w:t>
                  </w:r>
                  <w:r>
                    <w:rPr>
                      <w:rFonts w:ascii="Times New Roman" w:hAnsi="Times New Roman" w:eastAsia="宋体" w:cs="Times New Roman"/>
                      <w:b/>
                      <w:szCs w:val="21"/>
                    </w:rPr>
                    <w:t>项目</w:t>
                  </w:r>
                </w:p>
              </w:tc>
              <w:tc>
                <w:tcPr>
                  <w:tcW w:w="183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检测频次</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1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w:t>
                  </w:r>
                  <w:r>
                    <w:rPr>
                      <w:rFonts w:hint="eastAsia" w:ascii="Times New Roman" w:hAnsi="Times New Roman" w:eastAsia="宋体" w:cs="Times New Roman"/>
                      <w:szCs w:val="21"/>
                    </w:rPr>
                    <w:t>、</w:t>
                  </w:r>
                  <w:r>
                    <w:rPr>
                      <w:rFonts w:ascii="Times New Roman" w:hAnsi="Times New Roman" w:eastAsia="宋体" w:cs="Times New Roman"/>
                      <w:szCs w:val="21"/>
                    </w:rPr>
                    <w:t>3#</w:t>
                  </w:r>
                </w:p>
              </w:tc>
              <w:tc>
                <w:tcPr>
                  <w:tcW w:w="5909"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Times New Roman" w:hAnsi="Times New Roman" w:cs="Times New Roman"/>
                      <w:szCs w:val="21"/>
                    </w:rPr>
                  </w:pPr>
                  <w:r>
                    <w:rPr>
                      <w:rFonts w:hint="eastAsia" w:ascii="Times New Roman" w:hAnsi="Times New Roman" w:cs="Times New Roman"/>
                      <w:szCs w:val="21"/>
                    </w:rPr>
                    <w:t>砷、镉、铬（六价）、铜、铅、汞、镍、挥发性有机物、半挥发性有机物、苯胺、阳离子交换量、氧化还原电位、pH</w:t>
                  </w:r>
                </w:p>
              </w:tc>
              <w:tc>
                <w:tcPr>
                  <w:tcW w:w="183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rPr>
                  </w:pPr>
                  <w:r>
                    <w:rPr>
                      <w:rFonts w:hint="eastAsia" w:ascii="Times New Roman" w:hAnsi="Times New Roman" w:eastAsia="宋体" w:cs="Times New Roman"/>
                    </w:rPr>
                    <w:t>检测1天，每天检测1次</w:t>
                  </w:r>
                </w:p>
              </w:tc>
            </w:tr>
          </w:tbl>
          <w:p>
            <w:pPr>
              <w:spacing w:line="480" w:lineRule="exact"/>
              <w:ind w:firstLine="480"/>
              <w:rPr>
                <w:rFonts w:ascii="Times New Roman" w:hAnsi="Times New Roman" w:cs="Times New Roman"/>
                <w:b/>
                <w:sz w:val="24"/>
                <w:szCs w:val="24"/>
              </w:rPr>
            </w:pPr>
            <w:bookmarkStart w:id="5" w:name="_Toc12371718"/>
            <w:r>
              <w:rPr>
                <w:rFonts w:ascii="Times New Roman" w:hAnsi="Times New Roman" w:cs="Times New Roman"/>
                <w:b/>
                <w:sz w:val="24"/>
                <w:szCs w:val="24"/>
              </w:rPr>
              <w:t>5.3 监测时间和频率</w:t>
            </w:r>
            <w:bookmarkEnd w:id="5"/>
          </w:p>
          <w:p>
            <w:pPr>
              <w:spacing w:line="500" w:lineRule="exact"/>
              <w:ind w:firstLine="482"/>
              <w:rPr>
                <w:rFonts w:ascii="Times New Roman" w:hAnsi="Times New Roman" w:eastAsia="宋体" w:cs="Times New Roman"/>
                <w:sz w:val="24"/>
                <w:szCs w:val="24"/>
              </w:rPr>
            </w:pPr>
            <w:r>
              <w:rPr>
                <w:rFonts w:hint="eastAsia" w:ascii="Times New Roman" w:hAnsi="Times New Roman" w:cs="Times New Roman"/>
                <w:sz w:val="24"/>
                <w:szCs w:val="24"/>
              </w:rPr>
              <w:t>采样</w:t>
            </w:r>
            <w:r>
              <w:rPr>
                <w:rFonts w:ascii="Times New Roman" w:hAnsi="Times New Roman" w:cs="Times New Roman"/>
                <w:sz w:val="24"/>
                <w:szCs w:val="24"/>
              </w:rPr>
              <w:t>时间为20</w:t>
            </w:r>
            <w:r>
              <w:rPr>
                <w:rFonts w:hint="eastAsia" w:ascii="Times New Roman" w:hAnsi="Times New Roman" w:cs="Times New Roman"/>
                <w:sz w:val="24"/>
                <w:szCs w:val="24"/>
              </w:rPr>
              <w:t>20</w:t>
            </w:r>
            <w:r>
              <w:rPr>
                <w:rFonts w:ascii="Times New Roman" w:hAnsi="Times New Roman" w:cs="Times New Roman"/>
                <w:sz w:val="24"/>
                <w:szCs w:val="24"/>
              </w:rPr>
              <w:t>年</w:t>
            </w:r>
            <w:r>
              <w:rPr>
                <w:rFonts w:hint="eastAsia" w:ascii="Times New Roman" w:hAnsi="Times New Roman" w:cs="Times New Roman"/>
                <w:sz w:val="24"/>
                <w:szCs w:val="24"/>
              </w:rPr>
              <w:t>11</w:t>
            </w:r>
            <w:r>
              <w:rPr>
                <w:rFonts w:ascii="Times New Roman" w:hAnsi="Times New Roman" w:cs="Times New Roman"/>
                <w:sz w:val="24"/>
                <w:szCs w:val="24"/>
              </w:rPr>
              <w:t>月</w:t>
            </w:r>
            <w:r>
              <w:rPr>
                <w:rFonts w:hint="eastAsia" w:ascii="Times New Roman" w:hAnsi="Times New Roman" w:cs="Times New Roman"/>
                <w:sz w:val="24"/>
                <w:szCs w:val="24"/>
              </w:rPr>
              <w:t>05</w:t>
            </w:r>
            <w:r>
              <w:rPr>
                <w:rFonts w:ascii="Times New Roman" w:hAnsi="Times New Roman" w:cs="Times New Roman"/>
                <w:sz w:val="24"/>
                <w:szCs w:val="24"/>
              </w:rPr>
              <w:t>日。</w:t>
            </w:r>
          </w:p>
          <w:p>
            <w:pPr>
              <w:spacing w:line="480" w:lineRule="exact"/>
              <w:ind w:firstLine="480"/>
              <w:rPr>
                <w:rFonts w:ascii="Times New Roman" w:hAnsi="Times New Roman" w:cs="Times New Roman"/>
                <w:b/>
                <w:sz w:val="24"/>
                <w:szCs w:val="24"/>
              </w:rPr>
            </w:pPr>
            <w:r>
              <w:rPr>
                <w:rFonts w:ascii="Times New Roman" w:hAnsi="Times New Roman" w:cs="Times New Roman"/>
                <w:b/>
                <w:sz w:val="24"/>
                <w:szCs w:val="24"/>
              </w:rPr>
              <w:t>5.4监测结果</w:t>
            </w:r>
          </w:p>
          <w:p>
            <w:pPr>
              <w:spacing w:line="500" w:lineRule="exact"/>
              <w:ind w:firstLine="482"/>
              <w:rPr>
                <w:rFonts w:ascii="Times New Roman" w:hAnsi="Times New Roman" w:cs="Times New Roman"/>
                <w:sz w:val="24"/>
                <w:szCs w:val="24"/>
              </w:rPr>
            </w:pPr>
            <w:r>
              <w:rPr>
                <w:rFonts w:ascii="Times New Roman" w:hAnsi="Times New Roman" w:cs="Times New Roman"/>
                <w:sz w:val="24"/>
                <w:szCs w:val="24"/>
              </w:rPr>
              <w:t>本项目厂区内土壤现状监测结果见表3-5。</w:t>
            </w:r>
          </w:p>
          <w:p>
            <w:pPr>
              <w:pStyle w:val="167"/>
              <w:spacing w:line="360" w:lineRule="exact"/>
              <w:jc w:val="center"/>
              <w:rPr>
                <w:rFonts w:eastAsiaTheme="minorEastAsia"/>
                <w:bCs/>
              </w:rPr>
            </w:pPr>
            <w:r>
              <w:rPr>
                <w:rFonts w:eastAsiaTheme="minorEastAsia"/>
                <w:bCs/>
              </w:rPr>
              <w:t>表3-5建设用地1#~3#点土壤监测结果</w:t>
            </w:r>
          </w:p>
          <w:tbl>
            <w:tblPr>
              <w:tblStyle w:val="40"/>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0" w:type="dxa"/>
                <w:left w:w="108" w:type="dxa"/>
                <w:bottom w:w="0" w:type="dxa"/>
                <w:right w:w="108" w:type="dxa"/>
              </w:tblCellMar>
            </w:tblPr>
            <w:tblGrid>
              <w:gridCol w:w="696"/>
              <w:gridCol w:w="3279"/>
              <w:gridCol w:w="1321"/>
              <w:gridCol w:w="1137"/>
              <w:gridCol w:w="1218"/>
              <w:gridCol w:w="13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4" w:hRule="atLeast"/>
                <w:jc w:val="center"/>
              </w:trPr>
              <w:tc>
                <w:tcPr>
                  <w:tcW w:w="2194" w:type="pct"/>
                  <w:gridSpan w:val="2"/>
                  <w:vMerge w:val="restart"/>
                  <w:tcBorders>
                    <w:tl2br w:val="nil"/>
                    <w:tr2bl w:val="nil"/>
                  </w:tcBorders>
                  <w:vAlign w:val="center"/>
                </w:tcPr>
                <w:p>
                  <w:pPr>
                    <w:pStyle w:val="167"/>
                    <w:spacing w:line="280" w:lineRule="exact"/>
                    <w:jc w:val="center"/>
                    <w:rPr>
                      <w:b w:val="0"/>
                      <w:bCs/>
                      <w:kern w:val="2"/>
                      <w:sz w:val="21"/>
                      <w:szCs w:val="21"/>
                    </w:rPr>
                  </w:pPr>
                  <w:r>
                    <w:rPr>
                      <w:b w:val="0"/>
                      <w:bCs/>
                      <w:kern w:val="2"/>
                      <w:sz w:val="21"/>
                      <w:szCs w:val="21"/>
                    </w:rPr>
                    <w:t>检测项目</w:t>
                  </w:r>
                </w:p>
              </w:tc>
              <w:tc>
                <w:tcPr>
                  <w:tcW w:w="730" w:type="pct"/>
                  <w:tcBorders>
                    <w:tl2br w:val="nil"/>
                    <w:tr2bl w:val="nil"/>
                  </w:tcBorders>
                  <w:vAlign w:val="center"/>
                </w:tcPr>
                <w:p>
                  <w:pPr>
                    <w:pStyle w:val="167"/>
                    <w:spacing w:line="280" w:lineRule="exact"/>
                    <w:jc w:val="center"/>
                    <w:rPr>
                      <w:b w:val="0"/>
                      <w:bCs/>
                      <w:kern w:val="2"/>
                      <w:sz w:val="21"/>
                      <w:szCs w:val="21"/>
                    </w:rPr>
                  </w:pPr>
                  <w:r>
                    <w:rPr>
                      <w:b w:val="0"/>
                      <w:bCs/>
                      <w:kern w:val="2"/>
                      <w:sz w:val="21"/>
                      <w:szCs w:val="21"/>
                    </w:rPr>
                    <w:t>1#</w:t>
                  </w:r>
                </w:p>
              </w:tc>
              <w:tc>
                <w:tcPr>
                  <w:tcW w:w="628" w:type="pct"/>
                  <w:tcBorders>
                    <w:tl2br w:val="nil"/>
                    <w:tr2bl w:val="nil"/>
                  </w:tcBorders>
                  <w:vAlign w:val="center"/>
                </w:tcPr>
                <w:p>
                  <w:pPr>
                    <w:pStyle w:val="167"/>
                    <w:spacing w:line="280" w:lineRule="exact"/>
                    <w:jc w:val="center"/>
                    <w:rPr>
                      <w:b w:val="0"/>
                      <w:bCs/>
                      <w:kern w:val="2"/>
                      <w:sz w:val="21"/>
                      <w:szCs w:val="21"/>
                    </w:rPr>
                  </w:pPr>
                  <w:r>
                    <w:rPr>
                      <w:b w:val="0"/>
                      <w:bCs/>
                      <w:kern w:val="2"/>
                      <w:sz w:val="21"/>
                      <w:szCs w:val="21"/>
                    </w:rPr>
                    <w:t>2#</w:t>
                  </w:r>
                </w:p>
              </w:tc>
              <w:tc>
                <w:tcPr>
                  <w:tcW w:w="673" w:type="pct"/>
                  <w:tcBorders>
                    <w:tl2br w:val="nil"/>
                    <w:tr2bl w:val="nil"/>
                  </w:tcBorders>
                  <w:vAlign w:val="center"/>
                </w:tcPr>
                <w:p>
                  <w:pPr>
                    <w:pStyle w:val="167"/>
                    <w:spacing w:line="280" w:lineRule="exact"/>
                    <w:ind w:left="0"/>
                    <w:jc w:val="center"/>
                    <w:rPr>
                      <w:b w:val="0"/>
                      <w:bCs/>
                      <w:kern w:val="2"/>
                      <w:sz w:val="21"/>
                      <w:szCs w:val="21"/>
                    </w:rPr>
                  </w:pPr>
                  <w:r>
                    <w:rPr>
                      <w:b w:val="0"/>
                      <w:bCs/>
                      <w:kern w:val="2"/>
                      <w:sz w:val="21"/>
                      <w:szCs w:val="21"/>
                    </w:rPr>
                    <w:t>3#</w:t>
                  </w:r>
                </w:p>
              </w:tc>
              <w:tc>
                <w:tcPr>
                  <w:tcW w:w="773" w:type="pct"/>
                  <w:vMerge w:val="restart"/>
                  <w:tcBorders>
                    <w:tl2br w:val="nil"/>
                    <w:tr2bl w:val="nil"/>
                  </w:tcBorders>
                  <w:vAlign w:val="center"/>
                </w:tcPr>
                <w:p>
                  <w:pPr>
                    <w:pStyle w:val="167"/>
                    <w:spacing w:line="280" w:lineRule="exact"/>
                    <w:ind w:left="0"/>
                    <w:jc w:val="center"/>
                    <w:rPr>
                      <w:b w:val="0"/>
                      <w:bCs/>
                      <w:kern w:val="2"/>
                      <w:sz w:val="21"/>
                      <w:szCs w:val="21"/>
                    </w:rPr>
                  </w:pPr>
                  <w:r>
                    <w:rPr>
                      <w:b w:val="0"/>
                      <w:bCs/>
                      <w:kern w:val="2"/>
                      <w:sz w:val="21"/>
                      <w:szCs w:val="21"/>
                    </w:rPr>
                    <w:t>标准值mg/kg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562" w:hRule="atLeast"/>
                <w:jc w:val="center"/>
              </w:trPr>
              <w:tc>
                <w:tcPr>
                  <w:tcW w:w="2194" w:type="pct"/>
                  <w:gridSpan w:val="2"/>
                  <w:vMerge w:val="continue"/>
                  <w:tcBorders>
                    <w:tl2br w:val="nil"/>
                    <w:tr2bl w:val="nil"/>
                  </w:tcBorders>
                  <w:vAlign w:val="center"/>
                </w:tcPr>
                <w:p>
                  <w:pPr>
                    <w:widowControl/>
                    <w:spacing w:line="280" w:lineRule="exact"/>
                    <w:jc w:val="center"/>
                    <w:rPr>
                      <w:rFonts w:ascii="Times New Roman" w:hAnsi="Times New Roman" w:eastAsia="宋体" w:cs="Times New Roman"/>
                      <w:bCs/>
                      <w:szCs w:val="21"/>
                    </w:rPr>
                  </w:pPr>
                </w:p>
              </w:tc>
              <w:tc>
                <w:tcPr>
                  <w:tcW w:w="730" w:type="pct"/>
                  <w:tcBorders>
                    <w:tl2br w:val="nil"/>
                    <w:tr2bl w:val="nil"/>
                  </w:tcBorders>
                  <w:vAlign w:val="center"/>
                </w:tcPr>
                <w:p>
                  <w:pPr>
                    <w:pStyle w:val="167"/>
                    <w:spacing w:line="280" w:lineRule="exact"/>
                    <w:ind w:left="0"/>
                    <w:jc w:val="center"/>
                    <w:rPr>
                      <w:b w:val="0"/>
                      <w:bCs/>
                      <w:kern w:val="2"/>
                      <w:sz w:val="21"/>
                      <w:szCs w:val="21"/>
                    </w:rPr>
                  </w:pPr>
                  <w:r>
                    <w:rPr>
                      <w:b w:val="0"/>
                      <w:sz w:val="21"/>
                      <w:szCs w:val="21"/>
                    </w:rPr>
                    <w:t>监测值</w:t>
                  </w:r>
                </w:p>
              </w:tc>
              <w:tc>
                <w:tcPr>
                  <w:tcW w:w="628" w:type="pct"/>
                  <w:tcBorders>
                    <w:tl2br w:val="nil"/>
                    <w:tr2bl w:val="nil"/>
                  </w:tcBorders>
                  <w:vAlign w:val="center"/>
                </w:tcPr>
                <w:p>
                  <w:pPr>
                    <w:pStyle w:val="167"/>
                    <w:spacing w:line="280" w:lineRule="exact"/>
                    <w:ind w:left="0"/>
                    <w:jc w:val="center"/>
                    <w:rPr>
                      <w:b w:val="0"/>
                      <w:bCs/>
                      <w:kern w:val="2"/>
                      <w:sz w:val="21"/>
                      <w:szCs w:val="21"/>
                    </w:rPr>
                  </w:pPr>
                  <w:r>
                    <w:rPr>
                      <w:b w:val="0"/>
                      <w:sz w:val="21"/>
                      <w:szCs w:val="21"/>
                    </w:rPr>
                    <w:t>监测值</w:t>
                  </w:r>
                </w:p>
              </w:tc>
              <w:tc>
                <w:tcPr>
                  <w:tcW w:w="673" w:type="pct"/>
                  <w:tcBorders>
                    <w:tl2br w:val="nil"/>
                    <w:tr2bl w:val="nil"/>
                  </w:tcBorders>
                  <w:vAlign w:val="center"/>
                </w:tcPr>
                <w:p>
                  <w:pPr>
                    <w:pStyle w:val="167"/>
                    <w:spacing w:line="280" w:lineRule="exact"/>
                    <w:ind w:left="0"/>
                    <w:jc w:val="center"/>
                    <w:rPr>
                      <w:b w:val="0"/>
                      <w:bCs/>
                      <w:kern w:val="2"/>
                      <w:sz w:val="21"/>
                      <w:szCs w:val="21"/>
                    </w:rPr>
                  </w:pPr>
                  <w:r>
                    <w:rPr>
                      <w:b w:val="0"/>
                      <w:sz w:val="21"/>
                      <w:szCs w:val="21"/>
                    </w:rPr>
                    <w:t>监测值</w:t>
                  </w:r>
                </w:p>
              </w:tc>
              <w:tc>
                <w:tcPr>
                  <w:tcW w:w="773" w:type="pct"/>
                  <w:vMerge w:val="continue"/>
                  <w:tcBorders>
                    <w:tl2br w:val="nil"/>
                    <w:tr2bl w:val="nil"/>
                  </w:tcBorders>
                  <w:vAlign w:val="center"/>
                </w:tcPr>
                <w:p>
                  <w:pPr>
                    <w:widowControl/>
                    <w:spacing w:line="280" w:lineRule="exact"/>
                    <w:jc w:val="center"/>
                    <w:rPr>
                      <w:rFonts w:ascii="Times New Roman" w:hAnsi="Times New Roman" w:eastAsia="宋体" w:cs="Times New Roman"/>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384" w:type="pct"/>
                  <w:vMerge w:val="restar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重金属和无机物</w:t>
                  </w:r>
                </w:p>
              </w:tc>
              <w:tc>
                <w:tcPr>
                  <w:tcW w:w="1809" w:type="pc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pH</w:t>
                  </w:r>
                </w:p>
              </w:tc>
              <w:tc>
                <w:tcPr>
                  <w:tcW w:w="730" w:type="pct"/>
                  <w:tcBorders>
                    <w:tl2br w:val="nil"/>
                    <w:tr2bl w:val="nil"/>
                  </w:tcBorders>
                  <w:vAlign w:val="center"/>
                </w:tcPr>
                <w:p>
                  <w:pPr>
                    <w:widowControl/>
                    <w:spacing w:line="280" w:lineRule="exact"/>
                    <w:jc w:val="center"/>
                    <w:rPr>
                      <w:rFonts w:ascii="Times New Roman" w:hAnsi="Times New Roman" w:cs="Times New Roman"/>
                      <w:szCs w:val="21"/>
                    </w:rPr>
                  </w:pPr>
                  <w:r>
                    <w:rPr>
                      <w:rFonts w:hint="eastAsia" w:ascii="Times New Roman" w:hAnsi="Times New Roman" w:cs="Times New Roman"/>
                      <w:szCs w:val="21"/>
                    </w:rPr>
                    <w:t>7.51</w:t>
                  </w:r>
                </w:p>
              </w:tc>
              <w:tc>
                <w:tcPr>
                  <w:tcW w:w="628"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7.76</w:t>
                  </w:r>
                </w:p>
              </w:tc>
              <w:tc>
                <w:tcPr>
                  <w:tcW w:w="673"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7.70</w:t>
                  </w:r>
                </w:p>
              </w:tc>
              <w:tc>
                <w:tcPr>
                  <w:tcW w:w="773" w:type="pc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384" w:type="pct"/>
                  <w:vMerge w:val="continue"/>
                  <w:tcBorders>
                    <w:tl2br w:val="nil"/>
                    <w:tr2bl w:val="nil"/>
                  </w:tcBorders>
                  <w:vAlign w:val="center"/>
                </w:tcPr>
                <w:p>
                  <w:pPr>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总孔隙度（%）</w:t>
                  </w:r>
                </w:p>
              </w:tc>
              <w:tc>
                <w:tcPr>
                  <w:tcW w:w="730" w:type="pct"/>
                  <w:tcBorders>
                    <w:tl2br w:val="nil"/>
                    <w:tr2bl w:val="nil"/>
                  </w:tcBorders>
                  <w:vAlign w:val="center"/>
                </w:tcPr>
                <w:p>
                  <w:pPr>
                    <w:widowControl/>
                    <w:spacing w:line="280" w:lineRule="exact"/>
                    <w:jc w:val="center"/>
                    <w:rPr>
                      <w:rFonts w:ascii="Times New Roman" w:hAnsi="Times New Roman" w:cs="Times New Roman"/>
                      <w:szCs w:val="21"/>
                    </w:rPr>
                  </w:pPr>
                  <w:r>
                    <w:rPr>
                      <w:rFonts w:hint="eastAsia" w:ascii="Times New Roman" w:hAnsi="Times New Roman" w:cs="Times New Roman"/>
                      <w:szCs w:val="21"/>
                    </w:rPr>
                    <w:t>47.1</w:t>
                  </w:r>
                </w:p>
              </w:tc>
              <w:tc>
                <w:tcPr>
                  <w:tcW w:w="628"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52.8</w:t>
                  </w:r>
                </w:p>
              </w:tc>
              <w:tc>
                <w:tcPr>
                  <w:tcW w:w="673"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43.0</w:t>
                  </w:r>
                </w:p>
              </w:tc>
              <w:tc>
                <w:tcPr>
                  <w:tcW w:w="773" w:type="pc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384" w:type="pct"/>
                  <w:vMerge w:val="continue"/>
                  <w:tcBorders>
                    <w:tl2br w:val="nil"/>
                    <w:tr2bl w:val="nil"/>
                  </w:tcBorders>
                  <w:vAlign w:val="center"/>
                </w:tcPr>
                <w:p>
                  <w:pPr>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土壤容重（g/cm</w:t>
                  </w:r>
                  <w:r>
                    <w:rPr>
                      <w:rFonts w:hint="eastAsia" w:ascii="Times New Roman" w:hAnsi="Times New Roman" w:cs="Times New Roman"/>
                      <w:szCs w:val="21"/>
                      <w:vertAlign w:val="superscript"/>
                    </w:rPr>
                    <w:t>3</w:t>
                  </w:r>
                  <w:r>
                    <w:rPr>
                      <w:rFonts w:hint="eastAsia" w:ascii="Times New Roman" w:hAnsi="Times New Roman" w:cs="Times New Roman"/>
                      <w:szCs w:val="21"/>
                    </w:rPr>
                    <w:t>）</w:t>
                  </w:r>
                </w:p>
              </w:tc>
              <w:tc>
                <w:tcPr>
                  <w:tcW w:w="730" w:type="pct"/>
                  <w:tcBorders>
                    <w:tl2br w:val="nil"/>
                    <w:tr2bl w:val="nil"/>
                  </w:tcBorders>
                  <w:vAlign w:val="center"/>
                </w:tcPr>
                <w:p>
                  <w:pPr>
                    <w:widowControl/>
                    <w:spacing w:line="280" w:lineRule="exact"/>
                    <w:jc w:val="center"/>
                    <w:rPr>
                      <w:rFonts w:ascii="Times New Roman" w:hAnsi="Times New Roman" w:cs="Times New Roman"/>
                      <w:szCs w:val="21"/>
                    </w:rPr>
                  </w:pPr>
                  <w:r>
                    <w:rPr>
                      <w:rFonts w:hint="eastAsia" w:ascii="Times New Roman" w:hAnsi="Times New Roman" w:cs="Times New Roman"/>
                      <w:szCs w:val="21"/>
                    </w:rPr>
                    <w:t>1.27</w:t>
                  </w:r>
                </w:p>
              </w:tc>
              <w:tc>
                <w:tcPr>
                  <w:tcW w:w="628"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1.22</w:t>
                  </w:r>
                </w:p>
              </w:tc>
              <w:tc>
                <w:tcPr>
                  <w:tcW w:w="673"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1.19</w:t>
                  </w:r>
                </w:p>
              </w:tc>
              <w:tc>
                <w:tcPr>
                  <w:tcW w:w="773" w:type="pc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384" w:type="pct"/>
                  <w:vMerge w:val="continue"/>
                  <w:tcBorders>
                    <w:tl2br w:val="nil"/>
                    <w:tr2bl w:val="nil"/>
                  </w:tcBorders>
                  <w:vAlign w:val="center"/>
                </w:tcPr>
                <w:p>
                  <w:pPr>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土壤渗透率（mm/min）</w:t>
                  </w:r>
                </w:p>
              </w:tc>
              <w:tc>
                <w:tcPr>
                  <w:tcW w:w="730" w:type="pct"/>
                  <w:tcBorders>
                    <w:tl2br w:val="nil"/>
                    <w:tr2bl w:val="nil"/>
                  </w:tcBorders>
                  <w:vAlign w:val="center"/>
                </w:tcPr>
                <w:p>
                  <w:pPr>
                    <w:widowControl/>
                    <w:spacing w:line="280" w:lineRule="exact"/>
                    <w:jc w:val="center"/>
                    <w:rPr>
                      <w:rFonts w:ascii="Times New Roman" w:hAnsi="Times New Roman" w:cs="Times New Roman"/>
                      <w:szCs w:val="21"/>
                    </w:rPr>
                  </w:pPr>
                  <w:r>
                    <w:rPr>
                      <w:rFonts w:hint="eastAsia" w:ascii="Times New Roman" w:hAnsi="Times New Roman" w:cs="Times New Roman"/>
                      <w:szCs w:val="21"/>
                    </w:rPr>
                    <w:t>1.58</w:t>
                  </w:r>
                </w:p>
              </w:tc>
              <w:tc>
                <w:tcPr>
                  <w:tcW w:w="628"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1.70</w:t>
                  </w:r>
                </w:p>
              </w:tc>
              <w:tc>
                <w:tcPr>
                  <w:tcW w:w="673"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1.78</w:t>
                  </w:r>
                </w:p>
              </w:tc>
              <w:tc>
                <w:tcPr>
                  <w:tcW w:w="773" w:type="pc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6"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阳离子交换量</w:t>
                  </w:r>
                  <w:r>
                    <w:rPr>
                      <w:rFonts w:hint="eastAsia" w:ascii="Times New Roman" w:hAnsi="Times New Roman" w:cs="Times New Roman"/>
                      <w:szCs w:val="21"/>
                    </w:rPr>
                    <w:t>（cmol</w:t>
                  </w:r>
                  <w:r>
                    <w:rPr>
                      <w:rFonts w:hint="eastAsia" w:ascii="Times New Roman" w:hAnsi="Times New Roman" w:cs="Times New Roman"/>
                      <w:szCs w:val="21"/>
                      <w:vertAlign w:val="superscript"/>
                    </w:rPr>
                    <w:t>+</w:t>
                  </w:r>
                  <w:r>
                    <w:rPr>
                      <w:rFonts w:hint="eastAsia" w:ascii="Times New Roman" w:hAnsi="Times New Roman" w:cs="Times New Roman"/>
                      <w:szCs w:val="21"/>
                    </w:rPr>
                    <w:t>/kg）</w:t>
                  </w:r>
                </w:p>
              </w:tc>
              <w:tc>
                <w:tcPr>
                  <w:tcW w:w="730" w:type="pct"/>
                  <w:tcBorders>
                    <w:tl2br w:val="nil"/>
                    <w:tr2bl w:val="nil"/>
                  </w:tcBorders>
                  <w:vAlign w:val="center"/>
                </w:tcPr>
                <w:p>
                  <w:pPr>
                    <w:widowControl/>
                    <w:spacing w:line="280" w:lineRule="exact"/>
                    <w:jc w:val="center"/>
                    <w:rPr>
                      <w:rFonts w:ascii="Times New Roman" w:hAnsi="Times New Roman" w:cs="Times New Roman"/>
                      <w:szCs w:val="21"/>
                    </w:rPr>
                  </w:pPr>
                  <w:r>
                    <w:rPr>
                      <w:rFonts w:hint="eastAsia" w:ascii="Times New Roman" w:hAnsi="Times New Roman" w:cs="Times New Roman"/>
                      <w:szCs w:val="21"/>
                    </w:rPr>
                    <w:t>10.83</w:t>
                  </w:r>
                </w:p>
              </w:tc>
              <w:tc>
                <w:tcPr>
                  <w:tcW w:w="628"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11.01</w:t>
                  </w:r>
                </w:p>
              </w:tc>
              <w:tc>
                <w:tcPr>
                  <w:tcW w:w="673"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11.20</w:t>
                  </w:r>
                </w:p>
              </w:tc>
              <w:tc>
                <w:tcPr>
                  <w:tcW w:w="773" w:type="pc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6"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氧化还原电位（mv）</w:t>
                  </w:r>
                </w:p>
              </w:tc>
              <w:tc>
                <w:tcPr>
                  <w:tcW w:w="730" w:type="pct"/>
                  <w:tcBorders>
                    <w:tl2br w:val="nil"/>
                    <w:tr2bl w:val="nil"/>
                  </w:tcBorders>
                  <w:vAlign w:val="center"/>
                </w:tcPr>
                <w:p>
                  <w:pPr>
                    <w:widowControl/>
                    <w:spacing w:line="280" w:lineRule="exact"/>
                    <w:jc w:val="center"/>
                    <w:rPr>
                      <w:rFonts w:ascii="Times New Roman" w:hAnsi="Times New Roman" w:cs="Times New Roman"/>
                      <w:szCs w:val="21"/>
                    </w:rPr>
                  </w:pPr>
                  <w:r>
                    <w:rPr>
                      <w:rFonts w:hint="eastAsia" w:ascii="Times New Roman" w:hAnsi="Times New Roman" w:cs="Times New Roman"/>
                      <w:szCs w:val="21"/>
                    </w:rPr>
                    <w:t>749</w:t>
                  </w:r>
                </w:p>
              </w:tc>
              <w:tc>
                <w:tcPr>
                  <w:tcW w:w="628"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748</w:t>
                  </w:r>
                </w:p>
              </w:tc>
              <w:tc>
                <w:tcPr>
                  <w:tcW w:w="673" w:type="pct"/>
                  <w:tcBorders>
                    <w:tl2br w:val="nil"/>
                    <w:tr2bl w:val="nil"/>
                  </w:tcBorders>
                  <w:vAlign w:val="center"/>
                </w:tcPr>
                <w:p>
                  <w:pPr>
                    <w:spacing w:line="280" w:lineRule="exact"/>
                    <w:jc w:val="center"/>
                    <w:rPr>
                      <w:rFonts w:ascii="Times New Roman" w:hAnsi="Times New Roman" w:cs="Times New Roman"/>
                      <w:szCs w:val="21"/>
                    </w:rPr>
                  </w:pPr>
                  <w:r>
                    <w:rPr>
                      <w:rFonts w:hint="eastAsia" w:ascii="Times New Roman" w:hAnsi="Times New Roman" w:cs="Times New Roman"/>
                      <w:szCs w:val="21"/>
                    </w:rPr>
                    <w:t>745</w:t>
                  </w:r>
                </w:p>
              </w:tc>
              <w:tc>
                <w:tcPr>
                  <w:tcW w:w="773" w:type="pct"/>
                  <w:tcBorders>
                    <w:tl2br w:val="nil"/>
                    <w:tr2bl w:val="nil"/>
                  </w:tcBorders>
                  <w:vAlign w:val="center"/>
                </w:tcPr>
                <w:p>
                  <w:pPr>
                    <w:spacing w:line="280" w:lineRule="exact"/>
                    <w:jc w:val="center"/>
                    <w:rPr>
                      <w:rFonts w:ascii="Times New Roman" w:hAnsi="Times New Roman" w:cs="Times New Roman"/>
                      <w:szCs w:val="21"/>
                    </w:rPr>
                  </w:pPr>
                  <w:r>
                    <w:rPr>
                      <w:rFonts w:ascii="Times New Roman" w:hAnsi="Times New Roman" w:eastAsia="宋体"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7"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砷（mg/kg）</w:t>
                  </w:r>
                </w:p>
              </w:tc>
              <w:tc>
                <w:tcPr>
                  <w:tcW w:w="730" w:type="pct"/>
                  <w:tcBorders>
                    <w:tl2br w:val="nil"/>
                    <w:tr2bl w:val="nil"/>
                  </w:tcBorders>
                  <w:vAlign w:val="center"/>
                </w:tcPr>
                <w:p>
                  <w:pPr>
                    <w:widowControl/>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16.0</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15.1</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13.8</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3"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镉（mg/kg）</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0.19</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0.20</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0.19</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20"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铜（mg/kg）</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18000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8"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铅（mg/kg）</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17.0</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16.4</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16.2</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31"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镍（mg/kg）</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32</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32</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87"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汞（mg/kg）</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0.051</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0.058</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0.057</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81"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六价铬（mg/kg）</w:t>
                  </w:r>
                </w:p>
              </w:tc>
              <w:tc>
                <w:tcPr>
                  <w:tcW w:w="1322" w:type="dxa"/>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1137" w:type="dxa"/>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1219" w:type="dxa"/>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56" w:hRule="atLeast"/>
                <w:jc w:val="center"/>
              </w:trPr>
              <w:tc>
                <w:tcPr>
                  <w:tcW w:w="384" w:type="pct"/>
                  <w:vMerge w:val="restart"/>
                  <w:tcBorders>
                    <w:tl2br w:val="nil"/>
                    <w:tr2bl w:val="nil"/>
                  </w:tcBorders>
                  <w:vAlign w:val="center"/>
                </w:tcPr>
                <w:p>
                  <w:pPr>
                    <w:spacing w:line="280" w:lineRule="exact"/>
                    <w:jc w:val="center"/>
                    <w:rPr>
                      <w:rFonts w:ascii="Times New Roman" w:hAnsi="Times New Roman" w:eastAsia="宋体" w:cs="Times New Roman"/>
                    </w:rPr>
                  </w:pPr>
                </w:p>
                <w:p>
                  <w:pPr>
                    <w:pStyle w:val="2"/>
                    <w:spacing w:line="280" w:lineRule="exact"/>
                    <w:jc w:val="center"/>
                    <w:rPr>
                      <w:rFonts w:ascii="Times New Roman" w:cs="Times New Roman"/>
                      <w:color w:val="auto"/>
                      <w:kern w:val="2"/>
                      <w:sz w:val="21"/>
                      <w:szCs w:val="21"/>
                    </w:rPr>
                  </w:pPr>
                </w:p>
                <w:p>
                  <w:pPr>
                    <w:pStyle w:val="2"/>
                    <w:spacing w:line="280" w:lineRule="exact"/>
                    <w:jc w:val="center"/>
                    <w:rPr>
                      <w:rFonts w:ascii="Times New Roman" w:cs="Times New Roman"/>
                      <w:color w:val="auto"/>
                      <w:kern w:val="2"/>
                      <w:sz w:val="21"/>
                      <w:szCs w:val="21"/>
                    </w:rPr>
                  </w:pPr>
                </w:p>
                <w:p>
                  <w:pPr>
                    <w:pStyle w:val="2"/>
                    <w:spacing w:line="280" w:lineRule="exact"/>
                    <w:jc w:val="center"/>
                    <w:rPr>
                      <w:rFonts w:ascii="Times New Roman" w:cs="Times New Roman"/>
                      <w:color w:val="auto"/>
                      <w:kern w:val="2"/>
                      <w:sz w:val="21"/>
                      <w:szCs w:val="21"/>
                    </w:rPr>
                  </w:pPr>
                </w:p>
                <w:p>
                  <w:pPr>
                    <w:pStyle w:val="2"/>
                    <w:spacing w:line="280" w:lineRule="exact"/>
                    <w:jc w:val="center"/>
                    <w:rPr>
                      <w:rFonts w:ascii="Times New Roman" w:cs="Times New Roman"/>
                      <w:color w:val="auto"/>
                      <w:kern w:val="2"/>
                      <w:sz w:val="21"/>
                      <w:szCs w:val="21"/>
                    </w:rPr>
                  </w:pPr>
                </w:p>
                <w:p>
                  <w:pPr>
                    <w:pStyle w:val="2"/>
                    <w:spacing w:line="280" w:lineRule="exact"/>
                    <w:jc w:val="center"/>
                    <w:rPr>
                      <w:rFonts w:ascii="Times New Roman" w:cs="Times New Roman"/>
                      <w:color w:val="auto"/>
                      <w:kern w:val="2"/>
                      <w:sz w:val="21"/>
                      <w:szCs w:val="21"/>
                    </w:rPr>
                  </w:pPr>
                </w:p>
                <w:p>
                  <w:pPr>
                    <w:pStyle w:val="2"/>
                    <w:spacing w:line="280" w:lineRule="exact"/>
                    <w:jc w:val="center"/>
                    <w:rPr>
                      <w:rFonts w:ascii="Times New Roman" w:cs="Times New Roman"/>
                      <w:color w:val="auto"/>
                      <w:kern w:val="2"/>
                      <w:sz w:val="21"/>
                      <w:szCs w:val="21"/>
                    </w:rPr>
                  </w:pPr>
                  <w:r>
                    <w:rPr>
                      <w:rFonts w:ascii="Times New Roman" w:cs="Times New Roman"/>
                      <w:color w:val="auto"/>
                      <w:kern w:val="2"/>
                      <w:sz w:val="21"/>
                      <w:szCs w:val="21"/>
                    </w:rPr>
                    <w:t>挥</w:t>
                  </w:r>
                </w:p>
                <w:p>
                  <w:pPr>
                    <w:pStyle w:val="2"/>
                    <w:spacing w:line="280" w:lineRule="exact"/>
                    <w:jc w:val="center"/>
                    <w:rPr>
                      <w:rFonts w:ascii="Times New Roman" w:cs="Times New Roman"/>
                      <w:color w:val="auto"/>
                      <w:kern w:val="2"/>
                      <w:sz w:val="21"/>
                      <w:szCs w:val="21"/>
                    </w:rPr>
                  </w:pPr>
                  <w:r>
                    <w:rPr>
                      <w:rFonts w:ascii="Times New Roman" w:cs="Times New Roman"/>
                      <w:color w:val="auto"/>
                      <w:kern w:val="2"/>
                      <w:sz w:val="21"/>
                      <w:szCs w:val="21"/>
                    </w:rPr>
                    <w:t>发</w:t>
                  </w:r>
                </w:p>
                <w:p>
                  <w:pPr>
                    <w:pStyle w:val="2"/>
                    <w:spacing w:line="280" w:lineRule="exact"/>
                    <w:jc w:val="center"/>
                    <w:rPr>
                      <w:rFonts w:ascii="Times New Roman" w:cs="Times New Roman"/>
                      <w:color w:val="auto"/>
                      <w:kern w:val="2"/>
                      <w:sz w:val="21"/>
                      <w:szCs w:val="21"/>
                    </w:rPr>
                  </w:pPr>
                  <w:r>
                    <w:rPr>
                      <w:rFonts w:ascii="Times New Roman" w:cs="Times New Roman"/>
                      <w:color w:val="auto"/>
                      <w:kern w:val="2"/>
                      <w:sz w:val="21"/>
                      <w:szCs w:val="21"/>
                    </w:rPr>
                    <w:t>性</w:t>
                  </w:r>
                </w:p>
                <w:p>
                  <w:pPr>
                    <w:pStyle w:val="2"/>
                    <w:spacing w:line="280" w:lineRule="exact"/>
                    <w:jc w:val="center"/>
                    <w:rPr>
                      <w:rFonts w:ascii="Times New Roman" w:cs="Times New Roman"/>
                      <w:color w:val="auto"/>
                      <w:kern w:val="2"/>
                      <w:sz w:val="21"/>
                      <w:szCs w:val="21"/>
                    </w:rPr>
                  </w:pPr>
                  <w:r>
                    <w:rPr>
                      <w:rFonts w:ascii="Times New Roman" w:cs="Times New Roman"/>
                      <w:color w:val="auto"/>
                      <w:kern w:val="2"/>
                      <w:sz w:val="21"/>
                      <w:szCs w:val="21"/>
                    </w:rPr>
                    <w:t>有</w:t>
                  </w:r>
                </w:p>
                <w:p>
                  <w:pPr>
                    <w:pStyle w:val="2"/>
                    <w:spacing w:line="280" w:lineRule="exact"/>
                    <w:jc w:val="center"/>
                    <w:rPr>
                      <w:rFonts w:ascii="Times New Roman" w:cs="Times New Roman"/>
                      <w:color w:val="auto"/>
                      <w:kern w:val="2"/>
                      <w:sz w:val="21"/>
                      <w:szCs w:val="21"/>
                    </w:rPr>
                  </w:pPr>
                  <w:r>
                    <w:rPr>
                      <w:rFonts w:ascii="Times New Roman" w:cs="Times New Roman"/>
                      <w:color w:val="auto"/>
                      <w:kern w:val="2"/>
                      <w:sz w:val="21"/>
                      <w:szCs w:val="21"/>
                    </w:rPr>
                    <w:t>机</w:t>
                  </w:r>
                </w:p>
                <w:p>
                  <w:pPr>
                    <w:pStyle w:val="2"/>
                    <w:spacing w:line="280" w:lineRule="exact"/>
                    <w:jc w:val="center"/>
                    <w:rPr>
                      <w:rFonts w:ascii="Times New Roman" w:cs="Times New Roman"/>
                      <w:color w:val="auto"/>
                      <w:kern w:val="2"/>
                      <w:sz w:val="21"/>
                      <w:szCs w:val="21"/>
                    </w:rPr>
                  </w:pPr>
                  <w:r>
                    <w:rPr>
                      <w:rFonts w:ascii="Times New Roman" w:cs="Times New Roman"/>
                      <w:color w:val="auto"/>
                      <w:kern w:val="2"/>
                      <w:sz w:val="21"/>
                      <w:szCs w:val="21"/>
                    </w:rPr>
                    <w:t>物</w:t>
                  </w:r>
                </w:p>
              </w:tc>
              <w:tc>
                <w:tcPr>
                  <w:tcW w:w="1809" w:type="pct"/>
                  <w:tcBorders>
                    <w:tl2br w:val="nil"/>
                    <w:tr2bl w:val="nil"/>
                  </w:tcBorders>
                  <w:vAlign w:val="center"/>
                </w:tcPr>
                <w:p>
                  <w:pPr>
                    <w:widowControl/>
                    <w:spacing w:line="280" w:lineRule="exact"/>
                    <w:jc w:val="center"/>
                    <w:rPr>
                      <w:rFonts w:ascii="Times New Roman" w:hAnsi="Times New Roman" w:eastAsia="宋体" w:cs="Times New Roman"/>
                      <w:szCs w:val="21"/>
                    </w:rPr>
                  </w:pPr>
                  <w:r>
                    <w:rPr>
                      <w:rFonts w:ascii="Times New Roman" w:hAnsi="Times New Roman" w:eastAsia="宋体" w:cs="Times New Roman"/>
                      <w:szCs w:val="21"/>
                    </w:rPr>
                    <w:t>四氯化碳</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4"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氯仿</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23"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氯甲烷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38"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1，1-二氯乙烷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6"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1，2-二氯乙烷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7"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1，1二氯乙烯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0"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顺1，2二氯乙烯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596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20"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反1，2二氯乙烯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4"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二氯甲烷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616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4"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1，2-二氯丙烷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74"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1，1，1，2-四氯乙烷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8"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1，1，2，2-四氯乙烷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82"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四氯乙烯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60"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1，1，1-三氯乙烷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840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0"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1，1，2-三氯乙烷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38"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三氯乙烯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50"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1，2，3-三氯丙烷</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2"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氯乙烯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275"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8"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氯苯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4"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1，2-二氯苯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560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5"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widowControl/>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1，4-二氯苯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26"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乙苯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16"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苯乙烯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1290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279"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甲苯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1"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间二甲苯+对二甲苯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7"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微软雅黑"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邻二甲苯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87" w:hRule="atLeast"/>
                <w:jc w:val="center"/>
              </w:trPr>
              <w:tc>
                <w:tcPr>
                  <w:tcW w:w="384" w:type="pct"/>
                  <w:vMerge w:val="restar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半挥发性有机物</w:t>
                  </w: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硝基苯</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86"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苯胺</w:t>
                  </w:r>
                  <w:r>
                    <w:rPr>
                      <w:rFonts w:hint="eastAsia" w:ascii="Times New Roman" w:hAnsi="Times New Roman" w:eastAsia="宋体" w:cs="Times New Roman"/>
                      <w:szCs w:val="21"/>
                    </w:rPr>
                    <w:t>（</w:t>
                  </w:r>
                  <w:r>
                    <w:rPr>
                      <w:rFonts w:ascii="Times New Roman" w:hAnsi="Times New Roman" w:eastAsia="宋体" w:cs="Times New Roman"/>
                      <w:szCs w:val="21"/>
                    </w:rPr>
                    <w:t>mg/kg</w:t>
                  </w:r>
                  <w:r>
                    <w:rPr>
                      <w:rFonts w:hint="eastAsia" w:ascii="Times New Roman" w:hAnsi="Times New Roman" w:eastAsia="宋体" w:cs="Times New Roman"/>
                      <w:szCs w:val="21"/>
                    </w:rPr>
                    <w:t>）</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hint="eastAsia" w:ascii="Times New Roman" w:hAnsi="Times New Roman" w:eastAsia="宋体" w:cs="Times New Roman"/>
                      <w:szCs w:val="21"/>
                    </w:rPr>
                    <w:t>0.29</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405"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2-氯酚</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2256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84"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苯并[a]蒽</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03"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苯并[a]芘</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61"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苯并[b]荧蒽</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5"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苯并[k]荧蒽</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86"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䓛</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1293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2"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二苯并[a，h]蒽</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8"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茚并[1，2，3-cd]芘</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78" w:hRule="atLeast"/>
                <w:jc w:val="center"/>
              </w:trPr>
              <w:tc>
                <w:tcPr>
                  <w:tcW w:w="384" w:type="pct"/>
                  <w:vMerge w:val="continue"/>
                  <w:tcBorders>
                    <w:tl2br w:val="nil"/>
                    <w:tr2bl w:val="nil"/>
                  </w:tcBorders>
                  <w:vAlign w:val="center"/>
                </w:tcPr>
                <w:p>
                  <w:pPr>
                    <w:widowControl/>
                    <w:spacing w:line="280" w:lineRule="exact"/>
                    <w:jc w:val="center"/>
                    <w:rPr>
                      <w:rFonts w:ascii="Times New Roman" w:hAnsi="Times New Roman" w:eastAsia="宋体" w:cs="Times New Roman"/>
                      <w:szCs w:val="21"/>
                    </w:rPr>
                  </w:pPr>
                </w:p>
              </w:tc>
              <w:tc>
                <w:tcPr>
                  <w:tcW w:w="1809"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萘</w:t>
                  </w:r>
                </w:p>
              </w:tc>
              <w:tc>
                <w:tcPr>
                  <w:tcW w:w="730"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628" w:type="pct"/>
                  <w:tcBorders>
                    <w:tl2br w:val="nil"/>
                    <w:tr2bl w:val="nil"/>
                  </w:tcBorders>
                  <w:vAlign w:val="center"/>
                </w:tcPr>
                <w:p>
                  <w:pPr>
                    <w:spacing w:line="280" w:lineRule="exact"/>
                    <w:jc w:val="center"/>
                    <w:rPr>
                      <w:rFonts w:ascii="Times New Roman" w:hAnsi="Times New Roman" w:cs="Times New Roman"/>
                    </w:rPr>
                  </w:pPr>
                  <w:r>
                    <w:rPr>
                      <w:rFonts w:ascii="Times New Roman" w:hAnsi="Times New Roman" w:eastAsia="宋体" w:cs="Times New Roman"/>
                      <w:szCs w:val="21"/>
                    </w:rPr>
                    <w:t>ND</w:t>
                  </w:r>
                </w:p>
              </w:tc>
              <w:tc>
                <w:tcPr>
                  <w:tcW w:w="6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ND</w:t>
                  </w:r>
                </w:p>
              </w:tc>
              <w:tc>
                <w:tcPr>
                  <w:tcW w:w="773" w:type="pct"/>
                  <w:tcBorders>
                    <w:tl2br w:val="nil"/>
                    <w:tr2bl w:val="nil"/>
                  </w:tcBorders>
                  <w:vAlign w:val="center"/>
                </w:tcPr>
                <w:p>
                  <w:pPr>
                    <w:spacing w:line="280" w:lineRule="exact"/>
                    <w:jc w:val="center"/>
                    <w:rPr>
                      <w:rFonts w:ascii="Times New Roman" w:hAnsi="Times New Roman" w:eastAsia="宋体" w:cs="Times New Roman"/>
                      <w:szCs w:val="21"/>
                    </w:rPr>
                  </w:pPr>
                  <w:r>
                    <w:rPr>
                      <w:rFonts w:ascii="Times New Roman" w:hAnsi="Times New Roman" w:eastAsia="宋体" w:cs="Times New Roman"/>
                      <w:szCs w:val="21"/>
                    </w:rPr>
                    <w:t>70</w:t>
                  </w:r>
                </w:p>
              </w:tc>
            </w:tr>
          </w:tbl>
          <w:p>
            <w:pPr>
              <w:pStyle w:val="2"/>
              <w:rPr>
                <w:rFonts w:asci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0" w:hRule="atLeast"/>
        </w:trPr>
        <w:tc>
          <w:tcPr>
            <w:tcW w:w="9286" w:type="dxa"/>
            <w:tcBorders>
              <w:top w:val="single" w:color="auto" w:sz="12" w:space="0"/>
              <w:left w:val="single" w:color="auto" w:sz="12" w:space="0"/>
              <w:bottom w:val="single" w:color="auto" w:sz="12" w:space="0"/>
              <w:right w:val="single" w:color="auto" w:sz="12" w:space="0"/>
            </w:tcBorders>
          </w:tcPr>
          <w:p>
            <w:pPr>
              <w:pStyle w:val="27"/>
              <w:spacing w:line="500" w:lineRule="exact"/>
              <w:ind w:firstLine="0"/>
              <w:rPr>
                <w:b/>
                <w:bCs/>
              </w:rPr>
            </w:pPr>
            <w:r>
              <w:rPr>
                <w:b/>
                <w:bCs/>
              </w:rPr>
              <w:t>主要环境保护目标（列出名单及保护级别）：</w:t>
            </w:r>
          </w:p>
          <w:p>
            <w:pPr>
              <w:spacing w:line="5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 环境保护目标</w:t>
            </w:r>
          </w:p>
          <w:p>
            <w:pPr>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本项目所在地属代县</w:t>
            </w:r>
            <w:r>
              <w:rPr>
                <w:rFonts w:hint="eastAsia" w:ascii="Times New Roman" w:hAnsi="Times New Roman" w:cs="Times New Roman"/>
                <w:bCs/>
                <w:color w:val="000000" w:themeColor="text1"/>
                <w:sz w:val="24"/>
                <w:szCs w:val="24"/>
              </w:rPr>
              <w:t>新高乡</w:t>
            </w:r>
            <w:r>
              <w:rPr>
                <w:rFonts w:ascii="Times New Roman" w:hAnsi="Times New Roman" w:cs="Times New Roman"/>
                <w:bCs/>
                <w:color w:val="000000" w:themeColor="text1"/>
                <w:sz w:val="24"/>
                <w:szCs w:val="24"/>
              </w:rPr>
              <w:t>管辖</w:t>
            </w:r>
            <w:r>
              <w:rPr>
                <w:rFonts w:ascii="Times New Roman" w:hAnsi="Times New Roman" w:cs="Times New Roman"/>
                <w:bCs/>
                <w:sz w:val="24"/>
                <w:szCs w:val="24"/>
              </w:rPr>
              <w:t>，周围无自然保护区、风景名胜区等特殊环境敏感因素，结合工程特点，确定本评价主要保护目标为：环境空气保护目标主要为评价范围村庄居民，地表水保护目标主要为滹沱河，地下水保护目标主要为评价范围村庄水井。</w:t>
            </w:r>
          </w:p>
          <w:p>
            <w:pPr>
              <w:spacing w:line="500" w:lineRule="exact"/>
              <w:rPr>
                <w:rFonts w:ascii="Times New Roman" w:hAnsi="Times New Roman" w:cs="Times New Roman"/>
                <w:bCs/>
                <w:sz w:val="24"/>
                <w:szCs w:val="24"/>
              </w:rPr>
            </w:pPr>
            <w:r>
              <w:rPr>
                <w:rFonts w:ascii="Times New Roman" w:hAnsi="Times New Roman" w:cs="Times New Roman"/>
                <w:bCs/>
                <w:sz w:val="24"/>
                <w:szCs w:val="24"/>
              </w:rPr>
              <w:t>项目主要环境保护目标见下表，项目四邻关系及保护目标图见附图2。</w:t>
            </w:r>
          </w:p>
          <w:p>
            <w:pPr>
              <w:spacing w:line="480" w:lineRule="exact"/>
              <w:jc w:val="center"/>
              <w:rPr>
                <w:rFonts w:ascii="Times New Roman" w:hAnsi="Times New Roman" w:cs="Times New Roman"/>
                <w:b/>
                <w:sz w:val="24"/>
                <w:szCs w:val="24"/>
              </w:rPr>
            </w:pPr>
            <w:r>
              <w:rPr>
                <w:rFonts w:ascii="Times New Roman" w:hAnsi="Times New Roman" w:cs="Times New Roman"/>
                <w:b/>
                <w:sz w:val="24"/>
                <w:szCs w:val="24"/>
              </w:rPr>
              <w:t>表3-6 环境保护目标（环境空气）</w:t>
            </w:r>
          </w:p>
          <w:tbl>
            <w:tblPr>
              <w:tblStyle w:val="40"/>
              <w:tblW w:w="90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7"/>
              <w:gridCol w:w="1420"/>
              <w:gridCol w:w="1488"/>
              <w:gridCol w:w="692"/>
              <w:gridCol w:w="670"/>
              <w:gridCol w:w="1529"/>
              <w:gridCol w:w="881"/>
              <w:gridCol w:w="11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名称</w:t>
                  </w:r>
                </w:p>
              </w:tc>
              <w:tc>
                <w:tcPr>
                  <w:tcW w:w="2908" w:type="dxa"/>
                  <w:gridSpan w:val="2"/>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坐标</w:t>
                  </w:r>
                </w:p>
              </w:tc>
              <w:tc>
                <w:tcPr>
                  <w:tcW w:w="692"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保护对象</w:t>
                  </w:r>
                </w:p>
              </w:tc>
              <w:tc>
                <w:tcPr>
                  <w:tcW w:w="670"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保护内容</w:t>
                  </w:r>
                </w:p>
              </w:tc>
              <w:tc>
                <w:tcPr>
                  <w:tcW w:w="1529"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环境功能区</w:t>
                  </w:r>
                </w:p>
              </w:tc>
              <w:tc>
                <w:tcPr>
                  <w:tcW w:w="881"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相对厂址方位</w:t>
                  </w:r>
                </w:p>
              </w:tc>
              <w:tc>
                <w:tcPr>
                  <w:tcW w:w="1103"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相对厂界距离m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vMerge w:val="continue"/>
                  <w:tcBorders>
                    <w:tl2br w:val="nil"/>
                    <w:tr2bl w:val="nil"/>
                  </w:tcBorders>
                  <w:vAlign w:val="center"/>
                </w:tcPr>
                <w:p>
                  <w:pPr>
                    <w:widowControl/>
                    <w:jc w:val="left"/>
                    <w:rPr>
                      <w:rFonts w:ascii="Times New Roman" w:hAnsi="Times New Roman" w:cs="Times New Roman"/>
                      <w:szCs w:val="21"/>
                    </w:rPr>
                  </w:pPr>
                </w:p>
              </w:tc>
              <w:tc>
                <w:tcPr>
                  <w:tcW w:w="142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经度</w:t>
                  </w:r>
                </w:p>
              </w:tc>
              <w:tc>
                <w:tcPr>
                  <w:tcW w:w="148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纬度</w:t>
                  </w:r>
                </w:p>
              </w:tc>
              <w:tc>
                <w:tcPr>
                  <w:tcW w:w="692" w:type="dxa"/>
                  <w:vMerge w:val="continue"/>
                  <w:tcBorders>
                    <w:tl2br w:val="nil"/>
                    <w:tr2bl w:val="nil"/>
                  </w:tcBorders>
                  <w:vAlign w:val="center"/>
                </w:tcPr>
                <w:p>
                  <w:pPr>
                    <w:widowControl/>
                    <w:jc w:val="left"/>
                    <w:rPr>
                      <w:rFonts w:ascii="Times New Roman" w:hAnsi="Times New Roman" w:cs="Times New Roman"/>
                      <w:b/>
                      <w:szCs w:val="21"/>
                    </w:rPr>
                  </w:pPr>
                </w:p>
              </w:tc>
              <w:tc>
                <w:tcPr>
                  <w:tcW w:w="670" w:type="dxa"/>
                  <w:vMerge w:val="continue"/>
                  <w:tcBorders>
                    <w:tl2br w:val="nil"/>
                    <w:tr2bl w:val="nil"/>
                  </w:tcBorders>
                  <w:vAlign w:val="center"/>
                </w:tcPr>
                <w:p>
                  <w:pPr>
                    <w:widowControl/>
                    <w:jc w:val="left"/>
                    <w:rPr>
                      <w:rFonts w:ascii="Times New Roman" w:hAnsi="Times New Roman" w:cs="Times New Roman"/>
                      <w:b/>
                      <w:szCs w:val="21"/>
                    </w:rPr>
                  </w:pPr>
                </w:p>
              </w:tc>
              <w:tc>
                <w:tcPr>
                  <w:tcW w:w="1529" w:type="dxa"/>
                  <w:vMerge w:val="continue"/>
                  <w:tcBorders>
                    <w:tl2br w:val="nil"/>
                    <w:tr2bl w:val="nil"/>
                  </w:tcBorders>
                  <w:vAlign w:val="center"/>
                </w:tcPr>
                <w:p>
                  <w:pPr>
                    <w:widowControl/>
                    <w:jc w:val="left"/>
                    <w:rPr>
                      <w:rFonts w:ascii="Times New Roman" w:hAnsi="Times New Roman" w:cs="Times New Roman"/>
                      <w:b/>
                      <w:szCs w:val="21"/>
                    </w:rPr>
                  </w:pPr>
                </w:p>
              </w:tc>
              <w:tc>
                <w:tcPr>
                  <w:tcW w:w="881" w:type="dxa"/>
                  <w:vMerge w:val="continue"/>
                  <w:tcBorders>
                    <w:tl2br w:val="nil"/>
                    <w:tr2bl w:val="nil"/>
                  </w:tcBorders>
                  <w:vAlign w:val="center"/>
                </w:tcPr>
                <w:p>
                  <w:pPr>
                    <w:widowControl/>
                    <w:jc w:val="left"/>
                    <w:rPr>
                      <w:rFonts w:ascii="Times New Roman" w:hAnsi="Times New Roman" w:cs="Times New Roman"/>
                      <w:b/>
                      <w:szCs w:val="21"/>
                    </w:rPr>
                  </w:pPr>
                </w:p>
              </w:tc>
              <w:tc>
                <w:tcPr>
                  <w:tcW w:w="1103" w:type="dxa"/>
                  <w:vMerge w:val="continue"/>
                  <w:tcBorders>
                    <w:tl2br w:val="nil"/>
                    <w:tr2bl w:val="nil"/>
                  </w:tcBorders>
                  <w:vAlign w:val="center"/>
                </w:tcPr>
                <w:p>
                  <w:pPr>
                    <w:widowControl/>
                    <w:jc w:val="left"/>
                    <w:rPr>
                      <w:rFonts w:ascii="Times New Roman" w:hAnsi="Times New Roman" w:cs="Times New Roman"/>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tcBorders>
                    <w:tl2br w:val="nil"/>
                    <w:tr2bl w:val="nil"/>
                  </w:tcBorders>
                  <w:vAlign w:val="center"/>
                </w:tcPr>
                <w:p>
                  <w:pPr>
                    <w:jc w:val="center"/>
                    <w:rPr>
                      <w:rFonts w:ascii="Times New Roman" w:hAnsi="Times New Roman" w:cs="Times New Roman"/>
                      <w:bCs/>
                      <w:kern w:val="0"/>
                      <w:szCs w:val="21"/>
                    </w:rPr>
                  </w:pPr>
                  <w:r>
                    <w:rPr>
                      <w:rFonts w:hint="eastAsia" w:ascii="Times New Roman" w:hAnsi="Times New Roman" w:cs="Times New Roman"/>
                      <w:bCs/>
                      <w:kern w:val="0"/>
                      <w:szCs w:val="21"/>
                    </w:rPr>
                    <w:t>皇家庄村</w:t>
                  </w:r>
                </w:p>
              </w:tc>
              <w:tc>
                <w:tcPr>
                  <w:tcW w:w="142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665266.976</w:t>
                  </w:r>
                </w:p>
              </w:tc>
              <w:tc>
                <w:tcPr>
                  <w:tcW w:w="1488"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4312615.303</w:t>
                  </w:r>
                </w:p>
              </w:tc>
              <w:tc>
                <w:tcPr>
                  <w:tcW w:w="692"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lang w:val="en-GB"/>
                    </w:rPr>
                    <w:t>居民</w:t>
                  </w:r>
                </w:p>
              </w:tc>
              <w:tc>
                <w:tcPr>
                  <w:tcW w:w="670"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空气质量</w:t>
                  </w:r>
                </w:p>
              </w:tc>
              <w:tc>
                <w:tcPr>
                  <w:tcW w:w="1529"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《环境空气质量标准》</w:t>
                  </w:r>
                  <w:r>
                    <w:rPr>
                      <w:rFonts w:ascii="Times New Roman" w:hAnsi="Times New Roman" w:cs="Times New Roman"/>
                      <w:szCs w:val="21"/>
                      <w:lang w:val="zh-CN"/>
                    </w:rPr>
                    <w:t>（</w:t>
                  </w:r>
                  <w:r>
                    <w:rPr>
                      <w:rFonts w:ascii="Times New Roman" w:hAnsi="Times New Roman" w:cs="Times New Roman"/>
                      <w:szCs w:val="21"/>
                    </w:rPr>
                    <w:t>GB3095-2012）二级标准</w:t>
                  </w:r>
                </w:p>
              </w:tc>
              <w:tc>
                <w:tcPr>
                  <w:tcW w:w="88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南</w:t>
                  </w:r>
                </w:p>
              </w:tc>
              <w:tc>
                <w:tcPr>
                  <w:tcW w:w="110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2487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tcBorders>
                    <w:tl2br w:val="nil"/>
                    <w:tr2bl w:val="nil"/>
                  </w:tcBorders>
                  <w:vAlign w:val="center"/>
                </w:tcPr>
                <w:p>
                  <w:pPr>
                    <w:jc w:val="center"/>
                    <w:rPr>
                      <w:rFonts w:ascii="Times New Roman" w:hAnsi="Times New Roman" w:cs="Times New Roman"/>
                      <w:bCs/>
                      <w:kern w:val="0"/>
                      <w:szCs w:val="21"/>
                    </w:rPr>
                  </w:pPr>
                  <w:r>
                    <w:rPr>
                      <w:rFonts w:hint="eastAsia" w:ascii="Times New Roman" w:hAnsi="Times New Roman" w:cs="Times New Roman"/>
                      <w:bCs/>
                      <w:kern w:val="0"/>
                      <w:szCs w:val="21"/>
                    </w:rPr>
                    <w:t>上政化</w:t>
                  </w:r>
                  <w:r>
                    <w:rPr>
                      <w:rFonts w:ascii="Times New Roman" w:hAnsi="Times New Roman" w:cs="Times New Roman"/>
                      <w:bCs/>
                      <w:kern w:val="0"/>
                      <w:szCs w:val="21"/>
                    </w:rPr>
                    <w:t>村</w:t>
                  </w:r>
                </w:p>
              </w:tc>
              <w:tc>
                <w:tcPr>
                  <w:tcW w:w="142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664256.434</w:t>
                  </w:r>
                </w:p>
              </w:tc>
              <w:tc>
                <w:tcPr>
                  <w:tcW w:w="1488"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4314328.655</w:t>
                  </w:r>
                </w:p>
              </w:tc>
              <w:tc>
                <w:tcPr>
                  <w:tcW w:w="692" w:type="dxa"/>
                  <w:vMerge w:val="continue"/>
                  <w:tcBorders>
                    <w:tl2br w:val="nil"/>
                    <w:tr2bl w:val="nil"/>
                  </w:tcBorders>
                  <w:vAlign w:val="center"/>
                </w:tcPr>
                <w:p>
                  <w:pPr>
                    <w:widowControl/>
                    <w:jc w:val="left"/>
                    <w:rPr>
                      <w:rFonts w:ascii="Times New Roman" w:hAnsi="Times New Roman" w:cs="Times New Roman"/>
                      <w:szCs w:val="21"/>
                    </w:rPr>
                  </w:pPr>
                </w:p>
              </w:tc>
              <w:tc>
                <w:tcPr>
                  <w:tcW w:w="670" w:type="dxa"/>
                  <w:vMerge w:val="continue"/>
                  <w:tcBorders>
                    <w:tl2br w:val="nil"/>
                    <w:tr2bl w:val="nil"/>
                  </w:tcBorders>
                  <w:vAlign w:val="center"/>
                </w:tcPr>
                <w:p>
                  <w:pPr>
                    <w:widowControl/>
                    <w:jc w:val="left"/>
                    <w:rPr>
                      <w:rFonts w:ascii="Times New Roman" w:hAnsi="Times New Roman" w:cs="Times New Roman"/>
                      <w:szCs w:val="21"/>
                    </w:rPr>
                  </w:pPr>
                </w:p>
              </w:tc>
              <w:tc>
                <w:tcPr>
                  <w:tcW w:w="1529" w:type="dxa"/>
                  <w:vMerge w:val="continue"/>
                  <w:tcBorders>
                    <w:tl2br w:val="nil"/>
                    <w:tr2bl w:val="nil"/>
                  </w:tcBorders>
                  <w:vAlign w:val="center"/>
                </w:tcPr>
                <w:p>
                  <w:pPr>
                    <w:widowControl/>
                    <w:jc w:val="left"/>
                    <w:rPr>
                      <w:rFonts w:ascii="Times New Roman" w:hAnsi="Times New Roman" w:cs="Times New Roman"/>
                      <w:szCs w:val="21"/>
                    </w:rPr>
                  </w:pPr>
                </w:p>
              </w:tc>
              <w:tc>
                <w:tcPr>
                  <w:tcW w:w="88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西</w:t>
                  </w:r>
                </w:p>
              </w:tc>
              <w:tc>
                <w:tcPr>
                  <w:tcW w:w="110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1726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tcBorders>
                    <w:tl2br w:val="nil"/>
                    <w:tr2bl w:val="nil"/>
                  </w:tcBorders>
                  <w:vAlign w:val="center"/>
                </w:tcPr>
                <w:p>
                  <w:pPr>
                    <w:jc w:val="center"/>
                    <w:rPr>
                      <w:rFonts w:ascii="Times New Roman" w:hAnsi="Times New Roman" w:cs="Times New Roman"/>
                      <w:bCs/>
                      <w:kern w:val="0"/>
                      <w:szCs w:val="21"/>
                    </w:rPr>
                  </w:pPr>
                  <w:r>
                    <w:rPr>
                      <w:rFonts w:hint="eastAsia" w:ascii="Times New Roman" w:hAnsi="Times New Roman" w:cs="Times New Roman"/>
                      <w:bCs/>
                      <w:kern w:val="0"/>
                      <w:szCs w:val="21"/>
                    </w:rPr>
                    <w:t>北龙王堂</w:t>
                  </w:r>
                  <w:r>
                    <w:rPr>
                      <w:rFonts w:ascii="Times New Roman" w:hAnsi="Times New Roman" w:cs="Times New Roman"/>
                      <w:bCs/>
                      <w:kern w:val="0"/>
                      <w:szCs w:val="21"/>
                    </w:rPr>
                    <w:t>村</w:t>
                  </w:r>
                </w:p>
              </w:tc>
              <w:tc>
                <w:tcPr>
                  <w:tcW w:w="142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663513.918</w:t>
                  </w:r>
                </w:p>
              </w:tc>
              <w:tc>
                <w:tcPr>
                  <w:tcW w:w="1488"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4314256.056</w:t>
                  </w:r>
                </w:p>
              </w:tc>
              <w:tc>
                <w:tcPr>
                  <w:tcW w:w="692" w:type="dxa"/>
                  <w:vMerge w:val="continue"/>
                  <w:tcBorders>
                    <w:tl2br w:val="nil"/>
                    <w:tr2bl w:val="nil"/>
                  </w:tcBorders>
                  <w:vAlign w:val="center"/>
                </w:tcPr>
                <w:p>
                  <w:pPr>
                    <w:widowControl/>
                    <w:jc w:val="left"/>
                    <w:rPr>
                      <w:rFonts w:ascii="Times New Roman" w:hAnsi="Times New Roman" w:cs="Times New Roman"/>
                      <w:szCs w:val="21"/>
                    </w:rPr>
                  </w:pPr>
                </w:p>
              </w:tc>
              <w:tc>
                <w:tcPr>
                  <w:tcW w:w="670" w:type="dxa"/>
                  <w:vMerge w:val="continue"/>
                  <w:tcBorders>
                    <w:tl2br w:val="nil"/>
                    <w:tr2bl w:val="nil"/>
                  </w:tcBorders>
                  <w:vAlign w:val="center"/>
                </w:tcPr>
                <w:p>
                  <w:pPr>
                    <w:widowControl/>
                    <w:jc w:val="left"/>
                    <w:rPr>
                      <w:rFonts w:ascii="Times New Roman" w:hAnsi="Times New Roman" w:cs="Times New Roman"/>
                      <w:szCs w:val="21"/>
                    </w:rPr>
                  </w:pPr>
                </w:p>
              </w:tc>
              <w:tc>
                <w:tcPr>
                  <w:tcW w:w="1529" w:type="dxa"/>
                  <w:vMerge w:val="continue"/>
                  <w:tcBorders>
                    <w:tl2br w:val="nil"/>
                    <w:tr2bl w:val="nil"/>
                  </w:tcBorders>
                  <w:vAlign w:val="center"/>
                </w:tcPr>
                <w:p>
                  <w:pPr>
                    <w:widowControl/>
                    <w:jc w:val="left"/>
                    <w:rPr>
                      <w:rFonts w:ascii="Times New Roman" w:hAnsi="Times New Roman" w:cs="Times New Roman"/>
                      <w:szCs w:val="21"/>
                    </w:rPr>
                  </w:pPr>
                </w:p>
              </w:tc>
              <w:tc>
                <w:tcPr>
                  <w:tcW w:w="88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西</w:t>
                  </w:r>
                </w:p>
              </w:tc>
              <w:tc>
                <w:tcPr>
                  <w:tcW w:w="110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2379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下政化村</w:t>
                  </w:r>
                </w:p>
              </w:tc>
              <w:tc>
                <w:tcPr>
                  <w:tcW w:w="142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663705.628</w:t>
                  </w:r>
                </w:p>
              </w:tc>
              <w:tc>
                <w:tcPr>
                  <w:tcW w:w="1488"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4314698.404</w:t>
                  </w:r>
                </w:p>
              </w:tc>
              <w:tc>
                <w:tcPr>
                  <w:tcW w:w="692" w:type="dxa"/>
                  <w:vMerge w:val="continue"/>
                  <w:tcBorders>
                    <w:tl2br w:val="nil"/>
                    <w:tr2bl w:val="nil"/>
                  </w:tcBorders>
                  <w:vAlign w:val="center"/>
                </w:tcPr>
                <w:p>
                  <w:pPr>
                    <w:widowControl/>
                    <w:jc w:val="left"/>
                    <w:rPr>
                      <w:rFonts w:ascii="Times New Roman" w:hAnsi="Times New Roman" w:cs="Times New Roman"/>
                      <w:szCs w:val="21"/>
                    </w:rPr>
                  </w:pPr>
                </w:p>
              </w:tc>
              <w:tc>
                <w:tcPr>
                  <w:tcW w:w="670" w:type="dxa"/>
                  <w:vMerge w:val="continue"/>
                  <w:tcBorders>
                    <w:tl2br w:val="nil"/>
                    <w:tr2bl w:val="nil"/>
                  </w:tcBorders>
                  <w:vAlign w:val="center"/>
                </w:tcPr>
                <w:p>
                  <w:pPr>
                    <w:widowControl/>
                    <w:jc w:val="left"/>
                    <w:rPr>
                      <w:rFonts w:ascii="Times New Roman" w:hAnsi="Times New Roman" w:cs="Times New Roman"/>
                      <w:szCs w:val="21"/>
                    </w:rPr>
                  </w:pPr>
                </w:p>
              </w:tc>
              <w:tc>
                <w:tcPr>
                  <w:tcW w:w="1529" w:type="dxa"/>
                  <w:vMerge w:val="continue"/>
                  <w:tcBorders>
                    <w:tl2br w:val="nil"/>
                    <w:tr2bl w:val="nil"/>
                  </w:tcBorders>
                  <w:vAlign w:val="center"/>
                </w:tcPr>
                <w:p>
                  <w:pPr>
                    <w:widowControl/>
                    <w:jc w:val="left"/>
                    <w:rPr>
                      <w:rFonts w:ascii="Times New Roman" w:hAnsi="Times New Roman" w:cs="Times New Roman"/>
                      <w:szCs w:val="21"/>
                    </w:rPr>
                  </w:pPr>
                </w:p>
              </w:tc>
              <w:tc>
                <w:tcPr>
                  <w:tcW w:w="88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西</w:t>
                  </w:r>
                </w:p>
              </w:tc>
              <w:tc>
                <w:tcPr>
                  <w:tcW w:w="110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沿村</w:t>
                  </w:r>
                </w:p>
              </w:tc>
              <w:tc>
                <w:tcPr>
                  <w:tcW w:w="142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664559.140</w:t>
                  </w:r>
                </w:p>
              </w:tc>
              <w:tc>
                <w:tcPr>
                  <w:tcW w:w="1488"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431554.534</w:t>
                  </w:r>
                </w:p>
              </w:tc>
              <w:tc>
                <w:tcPr>
                  <w:tcW w:w="692" w:type="dxa"/>
                  <w:vMerge w:val="continue"/>
                  <w:tcBorders>
                    <w:tl2br w:val="nil"/>
                    <w:tr2bl w:val="nil"/>
                  </w:tcBorders>
                  <w:vAlign w:val="center"/>
                </w:tcPr>
                <w:p>
                  <w:pPr>
                    <w:widowControl/>
                    <w:jc w:val="left"/>
                    <w:rPr>
                      <w:rFonts w:ascii="Times New Roman" w:hAnsi="Times New Roman" w:cs="Times New Roman"/>
                      <w:szCs w:val="21"/>
                    </w:rPr>
                  </w:pPr>
                </w:p>
              </w:tc>
              <w:tc>
                <w:tcPr>
                  <w:tcW w:w="670" w:type="dxa"/>
                  <w:vMerge w:val="continue"/>
                  <w:tcBorders>
                    <w:tl2br w:val="nil"/>
                    <w:tr2bl w:val="nil"/>
                  </w:tcBorders>
                  <w:vAlign w:val="center"/>
                </w:tcPr>
                <w:p>
                  <w:pPr>
                    <w:widowControl/>
                    <w:jc w:val="left"/>
                    <w:rPr>
                      <w:rFonts w:ascii="Times New Roman" w:hAnsi="Times New Roman" w:cs="Times New Roman"/>
                      <w:szCs w:val="21"/>
                    </w:rPr>
                  </w:pPr>
                </w:p>
              </w:tc>
              <w:tc>
                <w:tcPr>
                  <w:tcW w:w="1529" w:type="dxa"/>
                  <w:vMerge w:val="continue"/>
                  <w:tcBorders>
                    <w:tl2br w:val="nil"/>
                    <w:tr2bl w:val="nil"/>
                  </w:tcBorders>
                  <w:vAlign w:val="center"/>
                </w:tcPr>
                <w:p>
                  <w:pPr>
                    <w:widowControl/>
                    <w:jc w:val="left"/>
                    <w:rPr>
                      <w:rFonts w:ascii="Times New Roman" w:hAnsi="Times New Roman" w:cs="Times New Roman"/>
                      <w:szCs w:val="21"/>
                    </w:rPr>
                  </w:pPr>
                </w:p>
              </w:tc>
              <w:tc>
                <w:tcPr>
                  <w:tcW w:w="88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西</w:t>
                  </w:r>
                </w:p>
              </w:tc>
              <w:tc>
                <w:tcPr>
                  <w:tcW w:w="110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1245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周流</w:t>
                  </w:r>
                  <w:r>
                    <w:rPr>
                      <w:rFonts w:ascii="Times New Roman" w:hAnsi="Times New Roman" w:cs="Times New Roman"/>
                      <w:szCs w:val="21"/>
                    </w:rPr>
                    <w:t>村</w:t>
                  </w:r>
                </w:p>
              </w:tc>
              <w:tc>
                <w:tcPr>
                  <w:tcW w:w="142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665375.423</w:t>
                  </w:r>
                </w:p>
              </w:tc>
              <w:tc>
                <w:tcPr>
                  <w:tcW w:w="1488"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4315962.591</w:t>
                  </w:r>
                </w:p>
              </w:tc>
              <w:tc>
                <w:tcPr>
                  <w:tcW w:w="692" w:type="dxa"/>
                  <w:vMerge w:val="continue"/>
                  <w:tcBorders>
                    <w:tl2br w:val="nil"/>
                    <w:tr2bl w:val="nil"/>
                  </w:tcBorders>
                  <w:vAlign w:val="center"/>
                </w:tcPr>
                <w:p>
                  <w:pPr>
                    <w:widowControl/>
                    <w:jc w:val="left"/>
                    <w:rPr>
                      <w:rFonts w:ascii="Times New Roman" w:hAnsi="Times New Roman" w:cs="Times New Roman"/>
                      <w:szCs w:val="21"/>
                    </w:rPr>
                  </w:pPr>
                </w:p>
              </w:tc>
              <w:tc>
                <w:tcPr>
                  <w:tcW w:w="670" w:type="dxa"/>
                  <w:vMerge w:val="continue"/>
                  <w:tcBorders>
                    <w:tl2br w:val="nil"/>
                    <w:tr2bl w:val="nil"/>
                  </w:tcBorders>
                  <w:vAlign w:val="center"/>
                </w:tcPr>
                <w:p>
                  <w:pPr>
                    <w:widowControl/>
                    <w:jc w:val="left"/>
                    <w:rPr>
                      <w:rFonts w:ascii="Times New Roman" w:hAnsi="Times New Roman" w:cs="Times New Roman"/>
                      <w:szCs w:val="21"/>
                    </w:rPr>
                  </w:pPr>
                </w:p>
              </w:tc>
              <w:tc>
                <w:tcPr>
                  <w:tcW w:w="1529" w:type="dxa"/>
                  <w:vMerge w:val="continue"/>
                  <w:tcBorders>
                    <w:tl2br w:val="nil"/>
                    <w:tr2bl w:val="nil"/>
                  </w:tcBorders>
                  <w:vAlign w:val="center"/>
                </w:tcPr>
                <w:p>
                  <w:pPr>
                    <w:widowControl/>
                    <w:jc w:val="left"/>
                    <w:rPr>
                      <w:rFonts w:ascii="Times New Roman" w:hAnsi="Times New Roman" w:cs="Times New Roman"/>
                      <w:szCs w:val="21"/>
                    </w:rPr>
                  </w:pPr>
                </w:p>
              </w:tc>
              <w:tc>
                <w:tcPr>
                  <w:tcW w:w="88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西</w:t>
                  </w:r>
                  <w:r>
                    <w:rPr>
                      <w:rFonts w:hint="eastAsia" w:ascii="Times New Roman" w:hAnsi="Times New Roman" w:cs="Times New Roman"/>
                      <w:szCs w:val="21"/>
                    </w:rPr>
                    <w:t>北</w:t>
                  </w:r>
                </w:p>
              </w:tc>
              <w:tc>
                <w:tcPr>
                  <w:tcW w:w="110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983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8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张村</w:t>
                  </w:r>
                </w:p>
              </w:tc>
              <w:tc>
                <w:tcPr>
                  <w:tcW w:w="142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665531.607</w:t>
                  </w:r>
                </w:p>
              </w:tc>
              <w:tc>
                <w:tcPr>
                  <w:tcW w:w="1488"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4316318.477</w:t>
                  </w:r>
                </w:p>
              </w:tc>
              <w:tc>
                <w:tcPr>
                  <w:tcW w:w="692" w:type="dxa"/>
                  <w:vMerge w:val="continue"/>
                  <w:tcBorders>
                    <w:tl2br w:val="nil"/>
                    <w:tr2bl w:val="nil"/>
                  </w:tcBorders>
                  <w:vAlign w:val="center"/>
                </w:tcPr>
                <w:p>
                  <w:pPr>
                    <w:widowControl/>
                    <w:jc w:val="left"/>
                    <w:rPr>
                      <w:rFonts w:ascii="Times New Roman" w:hAnsi="Times New Roman" w:cs="Times New Roman"/>
                      <w:szCs w:val="21"/>
                    </w:rPr>
                  </w:pPr>
                </w:p>
              </w:tc>
              <w:tc>
                <w:tcPr>
                  <w:tcW w:w="670" w:type="dxa"/>
                  <w:vMerge w:val="continue"/>
                  <w:tcBorders>
                    <w:tl2br w:val="nil"/>
                    <w:tr2bl w:val="nil"/>
                  </w:tcBorders>
                  <w:vAlign w:val="center"/>
                </w:tcPr>
                <w:p>
                  <w:pPr>
                    <w:widowControl/>
                    <w:jc w:val="left"/>
                    <w:rPr>
                      <w:rFonts w:ascii="Times New Roman" w:hAnsi="Times New Roman" w:cs="Times New Roman"/>
                      <w:szCs w:val="21"/>
                    </w:rPr>
                  </w:pPr>
                </w:p>
              </w:tc>
              <w:tc>
                <w:tcPr>
                  <w:tcW w:w="1529" w:type="dxa"/>
                  <w:vMerge w:val="continue"/>
                  <w:tcBorders>
                    <w:tl2br w:val="nil"/>
                    <w:tr2bl w:val="nil"/>
                  </w:tcBorders>
                  <w:vAlign w:val="center"/>
                </w:tcPr>
                <w:p>
                  <w:pPr>
                    <w:widowControl/>
                    <w:jc w:val="left"/>
                    <w:rPr>
                      <w:rFonts w:ascii="Times New Roman" w:hAnsi="Times New Roman" w:cs="Times New Roman"/>
                      <w:szCs w:val="21"/>
                    </w:rPr>
                  </w:pPr>
                </w:p>
              </w:tc>
              <w:tc>
                <w:tcPr>
                  <w:tcW w:w="88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北</w:t>
                  </w:r>
                </w:p>
              </w:tc>
              <w:tc>
                <w:tcPr>
                  <w:tcW w:w="110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287"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赵村</w:t>
                  </w:r>
                </w:p>
              </w:tc>
              <w:tc>
                <w:tcPr>
                  <w:tcW w:w="142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666343.247</w:t>
                  </w:r>
                </w:p>
              </w:tc>
              <w:tc>
                <w:tcPr>
                  <w:tcW w:w="1488"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4316630.986</w:t>
                  </w:r>
                </w:p>
              </w:tc>
              <w:tc>
                <w:tcPr>
                  <w:tcW w:w="692" w:type="dxa"/>
                  <w:vMerge w:val="continue"/>
                  <w:tcBorders>
                    <w:tl2br w:val="nil"/>
                    <w:tr2bl w:val="nil"/>
                  </w:tcBorders>
                  <w:vAlign w:val="center"/>
                </w:tcPr>
                <w:p>
                  <w:pPr>
                    <w:widowControl/>
                    <w:jc w:val="left"/>
                    <w:rPr>
                      <w:rFonts w:ascii="Times New Roman" w:hAnsi="Times New Roman" w:cs="Times New Roman"/>
                      <w:szCs w:val="21"/>
                    </w:rPr>
                  </w:pPr>
                </w:p>
              </w:tc>
              <w:tc>
                <w:tcPr>
                  <w:tcW w:w="670" w:type="dxa"/>
                  <w:vMerge w:val="continue"/>
                  <w:tcBorders>
                    <w:tl2br w:val="nil"/>
                    <w:tr2bl w:val="nil"/>
                  </w:tcBorders>
                  <w:vAlign w:val="center"/>
                </w:tcPr>
                <w:p>
                  <w:pPr>
                    <w:widowControl/>
                    <w:jc w:val="left"/>
                    <w:rPr>
                      <w:rFonts w:ascii="Times New Roman" w:hAnsi="Times New Roman" w:cs="Times New Roman"/>
                      <w:szCs w:val="21"/>
                    </w:rPr>
                  </w:pPr>
                </w:p>
              </w:tc>
              <w:tc>
                <w:tcPr>
                  <w:tcW w:w="1529" w:type="dxa"/>
                  <w:vMerge w:val="continue"/>
                  <w:tcBorders>
                    <w:tl2br w:val="nil"/>
                    <w:tr2bl w:val="nil"/>
                  </w:tcBorders>
                  <w:vAlign w:val="center"/>
                </w:tcPr>
                <w:p>
                  <w:pPr>
                    <w:widowControl/>
                    <w:jc w:val="left"/>
                    <w:rPr>
                      <w:rFonts w:ascii="Times New Roman" w:hAnsi="Times New Roman" w:cs="Times New Roman"/>
                      <w:szCs w:val="21"/>
                    </w:rPr>
                  </w:pPr>
                </w:p>
              </w:tc>
              <w:tc>
                <w:tcPr>
                  <w:tcW w:w="88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北</w:t>
                  </w:r>
                </w:p>
              </w:tc>
              <w:tc>
                <w:tcPr>
                  <w:tcW w:w="1103"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1627</w:t>
                  </w:r>
                </w:p>
              </w:tc>
            </w:tr>
          </w:tbl>
          <w:p>
            <w:pPr>
              <w:pStyle w:val="95"/>
              <w:adjustRightInd/>
              <w:spacing w:before="0" w:after="0" w:line="500" w:lineRule="exact"/>
              <w:rPr>
                <w:rFonts w:eastAsiaTheme="minorEastAsia"/>
                <w:bCs/>
                <w:kern w:val="2"/>
                <w:szCs w:val="24"/>
              </w:rPr>
            </w:pPr>
            <w:r>
              <w:rPr>
                <w:rFonts w:eastAsiaTheme="minorEastAsia"/>
                <w:kern w:val="2"/>
                <w:szCs w:val="24"/>
              </w:rPr>
              <w:t>表3-7 环境保护目标（其他环境要素）</w:t>
            </w:r>
          </w:p>
          <w:tbl>
            <w:tblPr>
              <w:tblStyle w:val="40"/>
              <w:tblW w:w="901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948"/>
              <w:gridCol w:w="1212"/>
              <w:gridCol w:w="1466"/>
              <w:gridCol w:w="322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63" w:type="dxa"/>
                  <w:tcBorders>
                    <w:tl2br w:val="nil"/>
                    <w:tr2bl w:val="nil"/>
                  </w:tcBorders>
                  <w:vAlign w:val="center"/>
                </w:tcPr>
                <w:p>
                  <w:pPr>
                    <w:ind w:left="-105" w:leftChars="-50" w:right="-105" w:rightChars="-50"/>
                    <w:jc w:val="center"/>
                    <w:rPr>
                      <w:rFonts w:ascii="Times New Roman" w:hAnsi="Times New Roman" w:cs="Times New Roman"/>
                      <w:kern w:val="0"/>
                      <w:szCs w:val="21"/>
                    </w:rPr>
                  </w:pPr>
                  <w:r>
                    <w:rPr>
                      <w:rFonts w:ascii="Times New Roman" w:hAnsi="Times New Roman" w:cs="Times New Roman"/>
                      <w:kern w:val="0"/>
                      <w:szCs w:val="21"/>
                    </w:rPr>
                    <w:t>环境</w:t>
                  </w:r>
                </w:p>
                <w:p>
                  <w:pPr>
                    <w:ind w:left="-105" w:leftChars="-50" w:right="-105" w:rightChars="-50"/>
                    <w:jc w:val="center"/>
                    <w:rPr>
                      <w:rFonts w:ascii="Times New Roman" w:hAnsi="Times New Roman" w:cs="Times New Roman"/>
                      <w:kern w:val="0"/>
                      <w:szCs w:val="21"/>
                    </w:rPr>
                  </w:pPr>
                  <w:r>
                    <w:rPr>
                      <w:rFonts w:ascii="Times New Roman" w:hAnsi="Times New Roman" w:cs="Times New Roman"/>
                      <w:kern w:val="0"/>
                      <w:szCs w:val="21"/>
                    </w:rPr>
                    <w:t>要素</w:t>
                  </w:r>
                </w:p>
              </w:tc>
              <w:tc>
                <w:tcPr>
                  <w:tcW w:w="1948" w:type="dxa"/>
                  <w:tcBorders>
                    <w:tl2br w:val="nil"/>
                    <w:tr2bl w:val="nil"/>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保护目标</w:t>
                  </w:r>
                </w:p>
              </w:tc>
              <w:tc>
                <w:tcPr>
                  <w:tcW w:w="1212" w:type="dxa"/>
                  <w:tcBorders>
                    <w:tl2br w:val="nil"/>
                    <w:tr2bl w:val="nil"/>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方位</w:t>
                  </w:r>
                </w:p>
              </w:tc>
              <w:tc>
                <w:tcPr>
                  <w:tcW w:w="1466" w:type="dxa"/>
                  <w:tcBorders>
                    <w:tl2br w:val="nil"/>
                    <w:tr2bl w:val="nil"/>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距离</w:t>
                  </w:r>
                </w:p>
                <w:p>
                  <w:pPr>
                    <w:jc w:val="center"/>
                    <w:rPr>
                      <w:rFonts w:ascii="Times New Roman" w:hAnsi="Times New Roman" w:cs="Times New Roman"/>
                      <w:kern w:val="0"/>
                      <w:szCs w:val="21"/>
                    </w:rPr>
                  </w:pPr>
                  <w:r>
                    <w:rPr>
                      <w:rFonts w:ascii="Times New Roman" w:hAnsi="Times New Roman" w:cs="Times New Roman"/>
                      <w:kern w:val="0"/>
                      <w:szCs w:val="21"/>
                    </w:rPr>
                    <w:t>(m)</w:t>
                  </w:r>
                </w:p>
              </w:tc>
              <w:tc>
                <w:tcPr>
                  <w:tcW w:w="3228" w:type="dxa"/>
                  <w:tcBorders>
                    <w:tl2br w:val="nil"/>
                    <w:tr2bl w:val="nil"/>
                  </w:tcBorders>
                  <w:vAlign w:val="center"/>
                </w:tcPr>
                <w:p>
                  <w:pPr>
                    <w:jc w:val="center"/>
                    <w:rPr>
                      <w:rFonts w:ascii="Times New Roman" w:hAnsi="Times New Roman" w:cs="Times New Roman"/>
                      <w:kern w:val="0"/>
                      <w:szCs w:val="21"/>
                    </w:rPr>
                  </w:pPr>
                  <w:r>
                    <w:rPr>
                      <w:rFonts w:ascii="Times New Roman" w:hAnsi="Times New Roman" w:cs="Times New Roman"/>
                      <w:kern w:val="0"/>
                      <w:szCs w:val="21"/>
                    </w:rPr>
                    <w:t>保护要求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3" w:type="dxa"/>
                  <w:tcBorders>
                    <w:tl2br w:val="nil"/>
                    <w:tr2bl w:val="nil"/>
                  </w:tcBorders>
                  <w:vAlign w:val="center"/>
                </w:tcPr>
                <w:p>
                  <w:pPr>
                    <w:ind w:left="-105" w:leftChars="-50" w:right="-105" w:rightChars="-50"/>
                    <w:jc w:val="center"/>
                    <w:rPr>
                      <w:rFonts w:ascii="Times New Roman" w:hAnsi="Times New Roman" w:cs="Times New Roman"/>
                      <w:kern w:val="0"/>
                      <w:szCs w:val="21"/>
                    </w:rPr>
                  </w:pPr>
                  <w:r>
                    <w:rPr>
                      <w:rFonts w:ascii="Times New Roman" w:hAnsi="Times New Roman" w:cs="Times New Roman"/>
                      <w:kern w:val="0"/>
                      <w:szCs w:val="21"/>
                    </w:rPr>
                    <w:t>地表水</w:t>
                  </w:r>
                </w:p>
              </w:tc>
              <w:tc>
                <w:tcPr>
                  <w:tcW w:w="1948" w:type="dxa"/>
                  <w:tcBorders>
                    <w:tl2br w:val="nil"/>
                    <w:tr2bl w:val="nil"/>
                  </w:tcBorders>
                  <w:vAlign w:val="center"/>
                </w:tcPr>
                <w:p>
                  <w:pPr>
                    <w:jc w:val="center"/>
                    <w:rPr>
                      <w:rFonts w:ascii="Times New Roman" w:hAnsi="Times New Roman" w:cs="Times New Roman"/>
                      <w:bCs/>
                      <w:szCs w:val="21"/>
                    </w:rPr>
                  </w:pPr>
                  <w:r>
                    <w:rPr>
                      <w:rFonts w:ascii="Times New Roman" w:hAnsi="Times New Roman" w:cs="Times New Roman"/>
                      <w:bCs/>
                      <w:szCs w:val="21"/>
                    </w:rPr>
                    <w:t>滹沱河</w:t>
                  </w:r>
                </w:p>
              </w:tc>
              <w:tc>
                <w:tcPr>
                  <w:tcW w:w="1212"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西北</w:t>
                  </w:r>
                </w:p>
              </w:tc>
              <w:tc>
                <w:tcPr>
                  <w:tcW w:w="1466" w:type="dxa"/>
                  <w:tcBorders>
                    <w:tl2br w:val="nil"/>
                    <w:tr2bl w:val="nil"/>
                  </w:tcBorders>
                  <w:vAlign w:val="center"/>
                </w:tcPr>
                <w:p>
                  <w:pPr>
                    <w:jc w:val="center"/>
                    <w:rPr>
                      <w:rFonts w:ascii="Times New Roman" w:hAnsi="Times New Roman" w:cs="Times New Roman"/>
                      <w:bCs/>
                      <w:szCs w:val="21"/>
                    </w:rPr>
                  </w:pPr>
                  <w:r>
                    <w:rPr>
                      <w:rFonts w:hint="eastAsia" w:ascii="Times New Roman" w:hAnsi="Times New Roman" w:cs="Times New Roman"/>
                      <w:bCs/>
                      <w:szCs w:val="21"/>
                    </w:rPr>
                    <w:t>2670</w:t>
                  </w:r>
                </w:p>
              </w:tc>
              <w:tc>
                <w:tcPr>
                  <w:tcW w:w="3228" w:type="dxa"/>
                  <w:tcBorders>
                    <w:tl2br w:val="nil"/>
                    <w:tr2bl w:val="nil"/>
                  </w:tcBorders>
                  <w:vAlign w:val="center"/>
                </w:tcPr>
                <w:p>
                  <w:pPr>
                    <w:ind w:left="-105" w:leftChars="-50" w:right="-105" w:rightChars="-50"/>
                    <w:jc w:val="center"/>
                    <w:rPr>
                      <w:rFonts w:ascii="Times New Roman" w:hAnsi="Times New Roman" w:cs="Times New Roman"/>
                    </w:rPr>
                  </w:pPr>
                  <w:r>
                    <w:rPr>
                      <w:rFonts w:ascii="Times New Roman" w:hAnsi="Times New Roman" w:cs="Times New Roman"/>
                    </w:rPr>
                    <w:t>《地表水环境质量标准》（GB3838 -2002）</w:t>
                  </w:r>
                  <w:r>
                    <w:rPr>
                      <w:rFonts w:ascii="Times New Roman" w:hAnsi="Times New Roman" w:eastAsia="宋体" w:cs="Times New Roman"/>
                      <w:bCs/>
                      <w:szCs w:val="21"/>
                    </w:rPr>
                    <w:t>Ⅳ</w:t>
                  </w:r>
                  <w:r>
                    <w:rPr>
                      <w:rFonts w:ascii="Times New Roman" w:hAnsi="Times New Roman" w:cs="Times New Roman"/>
                    </w:rPr>
                    <w:t>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653" w:hRule="atLeast"/>
                <w:jc w:val="center"/>
              </w:trPr>
              <w:tc>
                <w:tcPr>
                  <w:tcW w:w="1163" w:type="dxa"/>
                  <w:tcBorders>
                    <w:tl2br w:val="nil"/>
                    <w:tr2bl w:val="nil"/>
                  </w:tcBorders>
                  <w:vAlign w:val="center"/>
                </w:tcPr>
                <w:p>
                  <w:pPr>
                    <w:ind w:left="-105" w:leftChars="-50" w:right="-105" w:rightChars="-50"/>
                    <w:jc w:val="center"/>
                    <w:rPr>
                      <w:rFonts w:ascii="Times New Roman" w:hAnsi="Times New Roman" w:cs="Times New Roman"/>
                      <w:kern w:val="0"/>
                      <w:szCs w:val="21"/>
                    </w:rPr>
                  </w:pPr>
                  <w:r>
                    <w:rPr>
                      <w:rFonts w:ascii="Times New Roman" w:hAnsi="Times New Roman" w:cs="Times New Roman"/>
                      <w:kern w:val="0"/>
                      <w:szCs w:val="21"/>
                    </w:rPr>
                    <w:t>声环境</w:t>
                  </w:r>
                </w:p>
              </w:tc>
              <w:tc>
                <w:tcPr>
                  <w:tcW w:w="4626" w:type="dxa"/>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厂界噪声</w:t>
                  </w:r>
                </w:p>
              </w:tc>
              <w:tc>
                <w:tcPr>
                  <w:tcW w:w="3228" w:type="dxa"/>
                  <w:tcBorders>
                    <w:tl2br w:val="nil"/>
                    <w:tr2bl w:val="nil"/>
                  </w:tcBorders>
                  <w:vAlign w:val="center"/>
                </w:tcPr>
                <w:p>
                  <w:pPr>
                    <w:ind w:left="-105" w:leftChars="-50" w:right="-105" w:rightChars="-50"/>
                    <w:jc w:val="center"/>
                    <w:rPr>
                      <w:rFonts w:ascii="Times New Roman" w:hAnsi="Times New Roman" w:cs="Times New Roman"/>
                      <w:szCs w:val="21"/>
                    </w:rPr>
                  </w:pPr>
                  <w:r>
                    <w:rPr>
                      <w:rFonts w:ascii="Times New Roman" w:hAnsi="Times New Roman" w:cs="Times New Roman"/>
                      <w:szCs w:val="21"/>
                    </w:rPr>
                    <w:t>《声环境质量标准》（GB3096-2008）2类标准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267" w:hRule="atLeast"/>
                <w:jc w:val="center"/>
              </w:trPr>
              <w:tc>
                <w:tcPr>
                  <w:tcW w:w="1163" w:type="dxa"/>
                  <w:tcBorders>
                    <w:tl2br w:val="nil"/>
                    <w:tr2bl w:val="nil"/>
                  </w:tcBorders>
                  <w:vAlign w:val="center"/>
                </w:tcPr>
                <w:p>
                  <w:pPr>
                    <w:ind w:left="-105" w:leftChars="-50" w:right="-105" w:rightChars="-50"/>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kern w:val="0"/>
                      <w:szCs w:val="21"/>
                      <w:lang w:eastAsia="zh-CN"/>
                    </w:rPr>
                    <w:t>土壤</w:t>
                  </w:r>
                </w:p>
              </w:tc>
              <w:tc>
                <w:tcPr>
                  <w:tcW w:w="4626" w:type="dxa"/>
                  <w:gridSpan w:val="3"/>
                  <w:tcBorders>
                    <w:tl2br w:val="nil"/>
                    <w:tr2bl w:val="nil"/>
                  </w:tcBorders>
                  <w:vAlign w:val="center"/>
                </w:tcPr>
                <w:p>
                  <w:pPr>
                    <w:jc w:val="center"/>
                    <w:rPr>
                      <w:rFonts w:hint="eastAsia" w:ascii="Times New Roman" w:hAnsi="Times New Roman" w:cs="Times New Roman" w:eastAsiaTheme="minorEastAsia"/>
                      <w:lang w:eastAsia="zh-CN"/>
                    </w:rPr>
                  </w:pPr>
                  <w:r>
                    <w:rPr>
                      <w:rFonts w:hint="eastAsia" w:ascii="Times New Roman" w:hAnsi="Times New Roman" w:cs="Times New Roman"/>
                      <w:lang w:eastAsia="zh-CN"/>
                    </w:rPr>
                    <w:t>评价范围内土壤</w:t>
                  </w:r>
                </w:p>
              </w:tc>
              <w:tc>
                <w:tcPr>
                  <w:tcW w:w="3228" w:type="dxa"/>
                  <w:tcBorders>
                    <w:tl2br w:val="nil"/>
                    <w:tr2bl w:val="nil"/>
                  </w:tcBorders>
                  <w:vAlign w:val="center"/>
                </w:tcPr>
                <w:p>
                  <w:pPr>
                    <w:ind w:left="-105" w:leftChars="-50" w:right="-105" w:rightChars="-50"/>
                    <w:jc w:val="center"/>
                    <w:rPr>
                      <w:rFonts w:ascii="Times New Roman" w:hAnsi="Times New Roman" w:cs="Times New Roman"/>
                      <w:szCs w:val="21"/>
                    </w:rPr>
                  </w:pPr>
                  <w:r>
                    <w:rPr>
                      <w:rFonts w:ascii="Times New Roman" w:hAnsi="Times New Roman" w:cs="Times New Roman"/>
                      <w:szCs w:val="21"/>
                    </w:rPr>
                    <w:t>《土壤环境质量建设用地土壤污染风险管控标准（试行）》（GB36600-2018）中的筛选值（第二类）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267" w:hRule="atLeast"/>
                <w:jc w:val="center"/>
              </w:trPr>
              <w:tc>
                <w:tcPr>
                  <w:tcW w:w="1163" w:type="dxa"/>
                  <w:tcBorders>
                    <w:tl2br w:val="nil"/>
                    <w:tr2bl w:val="nil"/>
                  </w:tcBorders>
                  <w:vAlign w:val="center"/>
                </w:tcPr>
                <w:p>
                  <w:pPr>
                    <w:ind w:left="-105" w:leftChars="-50" w:right="-105" w:rightChars="-50"/>
                    <w:jc w:val="center"/>
                    <w:rPr>
                      <w:rFonts w:hint="eastAsia" w:ascii="Times New Roman" w:hAnsi="Times New Roman" w:cs="Times New Roman" w:eastAsiaTheme="minorEastAsia"/>
                      <w:kern w:val="0"/>
                      <w:szCs w:val="21"/>
                      <w:lang w:eastAsia="zh-CN"/>
                    </w:rPr>
                  </w:pPr>
                  <w:r>
                    <w:rPr>
                      <w:rFonts w:ascii="Times New Roman" w:hAnsi="Times New Roman" w:cs="Times New Roman"/>
                      <w:kern w:val="0"/>
                      <w:szCs w:val="21"/>
                    </w:rPr>
                    <w:t>生态环境</w:t>
                  </w:r>
                </w:p>
              </w:tc>
              <w:tc>
                <w:tcPr>
                  <w:tcW w:w="4626" w:type="dxa"/>
                  <w:gridSpan w:val="3"/>
                  <w:tcBorders>
                    <w:tl2br w:val="nil"/>
                    <w:tr2bl w:val="nil"/>
                  </w:tcBorders>
                  <w:vAlign w:val="center"/>
                </w:tcPr>
                <w:p>
                  <w:pPr>
                    <w:jc w:val="center"/>
                    <w:rPr>
                      <w:rFonts w:ascii="Times New Roman" w:hAnsi="Times New Roman" w:cs="Times New Roman"/>
                      <w:bCs/>
                    </w:rPr>
                  </w:pPr>
                  <w:r>
                    <w:rPr>
                      <w:rFonts w:ascii="Times New Roman" w:hAnsi="Times New Roman" w:cs="Times New Roman"/>
                      <w:bCs/>
                    </w:rPr>
                    <w:t>评价区植被、农作物</w:t>
                  </w:r>
                  <w:r>
                    <w:rPr>
                      <w:rFonts w:ascii="Times New Roman" w:hAnsi="Times New Roman" w:cs="Times New Roman"/>
                      <w:szCs w:val="21"/>
                    </w:rPr>
                    <w:t>等生态环境</w:t>
                  </w:r>
                </w:p>
              </w:tc>
              <w:tc>
                <w:tcPr>
                  <w:tcW w:w="3228" w:type="dxa"/>
                  <w:tcBorders>
                    <w:tl2br w:val="nil"/>
                    <w:tr2bl w:val="nil"/>
                  </w:tcBorders>
                  <w:vAlign w:val="center"/>
                </w:tcPr>
                <w:p>
                  <w:pPr>
                    <w:ind w:left="-105" w:leftChars="-50" w:right="-105" w:rightChars="-50"/>
                    <w:jc w:val="center"/>
                    <w:rPr>
                      <w:rFonts w:ascii="Times New Roman" w:hAnsi="Times New Roman" w:cs="Times New Roman"/>
                      <w:bCs/>
                    </w:rPr>
                  </w:pPr>
                  <w:r>
                    <w:rPr>
                      <w:rFonts w:ascii="Times New Roman" w:hAnsi="Times New Roman" w:cs="Times New Roman"/>
                      <w:bCs/>
                    </w:rPr>
                    <w:t>在严格控制项目生态影响的前提下，加强厂区绿化。</w:t>
                  </w:r>
                  <w:r>
                    <w:rPr>
                      <w:rFonts w:ascii="Times New Roman" w:hAnsi="Times New Roman" w:cs="Times New Roman"/>
                      <w:szCs w:val="21"/>
                    </w:rPr>
                    <w:t xml:space="preserve"> </w:t>
                  </w:r>
                </w:p>
              </w:tc>
            </w:tr>
          </w:tbl>
          <w:p>
            <w:pPr>
              <w:pStyle w:val="2"/>
              <w:rPr>
                <w:rFonts w:ascii="Times New Roman" w:cs="Times New Roman"/>
              </w:rPr>
            </w:pPr>
          </w:p>
          <w:p>
            <w:pPr>
              <w:pStyle w:val="2"/>
              <w:rPr>
                <w:rFonts w:ascii="Times New Roman" w:cs="Times New Roman"/>
              </w:rPr>
            </w:pPr>
          </w:p>
          <w:p>
            <w:pPr>
              <w:pStyle w:val="3"/>
              <w:rPr>
                <w:rFonts w:hAnsi="Times New Roman" w:cs="Times New Roman"/>
              </w:rPr>
            </w:pPr>
          </w:p>
          <w:p>
            <w:pPr>
              <w:rPr>
                <w:rFonts w:ascii="Times New Roman" w:hAnsi="Times New Roman" w:cs="Times New Roman"/>
              </w:rPr>
            </w:pPr>
          </w:p>
          <w:p>
            <w:pPr>
              <w:pStyle w:val="2"/>
              <w:rPr>
                <w:rFonts w:ascii="Times New Roman" w:cs="Times New Roman"/>
              </w:rPr>
            </w:pPr>
          </w:p>
          <w:p>
            <w:pPr>
              <w:pStyle w:val="3"/>
              <w:rPr>
                <w:rFonts w:hAnsi="Times New Roman" w:cs="Times New Roman"/>
              </w:rPr>
            </w:pPr>
          </w:p>
          <w:p>
            <w:pPr>
              <w:rPr>
                <w:rFonts w:ascii="Times New Roman" w:hAnsi="Times New Roman" w:cs="Times New Roman"/>
              </w:rPr>
            </w:pPr>
          </w:p>
          <w:p>
            <w:pPr>
              <w:pStyle w:val="2"/>
              <w:rPr>
                <w:rFonts w:ascii="Times New Roman" w:cs="Times New Roman"/>
              </w:rPr>
            </w:pPr>
          </w:p>
          <w:p>
            <w:pPr>
              <w:pStyle w:val="3"/>
              <w:rPr>
                <w:rFonts w:hAnsi="Times New Roman" w:cs="Times New Roman"/>
              </w:rPr>
            </w:pPr>
          </w:p>
          <w:p>
            <w:pPr>
              <w:rPr>
                <w:rFonts w:ascii="Times New Roman" w:hAnsi="Times New Roman" w:cs="Times New Roman"/>
              </w:rPr>
            </w:pPr>
          </w:p>
          <w:p>
            <w:pPr>
              <w:pStyle w:val="2"/>
              <w:rPr>
                <w:rFonts w:ascii="Times New Roman" w:cs="Times New Roman"/>
              </w:rPr>
            </w:pPr>
          </w:p>
          <w:p>
            <w:pPr>
              <w:pStyle w:val="3"/>
              <w:rPr>
                <w:rFonts w:hAnsi="Times New Roman" w:cs="Times New Roman"/>
              </w:rPr>
            </w:pPr>
          </w:p>
          <w:p/>
          <w:p>
            <w:pPr>
              <w:pStyle w:val="15"/>
              <w:spacing w:before="156"/>
            </w:pPr>
          </w:p>
          <w:p/>
          <w:p>
            <w:pPr>
              <w:pStyle w:val="15"/>
              <w:spacing w:before="156"/>
            </w:pPr>
          </w:p>
          <w:p>
            <w:pPr>
              <w:pStyle w:val="2"/>
              <w:rPr>
                <w:rFonts w:ascii="Times New Roman" w:cs="Times New Roman"/>
              </w:rPr>
            </w:pPr>
          </w:p>
          <w:p>
            <w:pPr>
              <w:pStyle w:val="2"/>
              <w:rPr>
                <w:rFonts w:ascii="Times New Roman" w:cs="Times New Roman"/>
              </w:rPr>
            </w:pPr>
          </w:p>
          <w:p>
            <w:pPr>
              <w:pStyle w:val="2"/>
              <w:rPr>
                <w:rFonts w:ascii="Times New Roman" w:cs="Times New Roman"/>
              </w:rPr>
            </w:pPr>
          </w:p>
        </w:tc>
      </w:tr>
    </w:tbl>
    <w:p>
      <w:pPr>
        <w:rPr>
          <w:rFonts w:ascii="Times New Roman" w:hAnsi="Times New Roman" w:eastAsia="黑体" w:cs="Times New Roman"/>
          <w:bCs/>
          <w:color w:val="000000" w:themeColor="text1"/>
          <w:sz w:val="30"/>
          <w:szCs w:val="30"/>
        </w:rPr>
      </w:pPr>
      <w:r>
        <w:rPr>
          <w:rFonts w:ascii="Times New Roman" w:hAnsi="Times New Roman" w:eastAsia="黑体" w:cs="Times New Roman"/>
          <w:bCs/>
          <w:color w:val="000000" w:themeColor="text1"/>
          <w:sz w:val="30"/>
          <w:szCs w:val="30"/>
        </w:rPr>
        <w:br w:type="page"/>
      </w:r>
    </w:p>
    <w:p>
      <w:pPr>
        <w:rPr>
          <w:rFonts w:ascii="Times New Roman" w:hAnsi="Times New Roman" w:cs="Times New Roman"/>
          <w:color w:val="000000" w:themeColor="text1"/>
        </w:rPr>
      </w:pPr>
      <w:r>
        <w:rPr>
          <w:rFonts w:hint="eastAsia" w:ascii="Times New Roman" w:hAnsi="Times New Roman" w:eastAsia="黑体" w:cs="Times New Roman"/>
          <w:bCs/>
          <w:color w:val="000000" w:themeColor="text1"/>
          <w:sz w:val="30"/>
          <w:szCs w:val="30"/>
        </w:rPr>
        <w:t>四、</w:t>
      </w:r>
      <w:r>
        <w:rPr>
          <w:rFonts w:ascii="Times New Roman" w:hAnsi="Times New Roman" w:eastAsia="黑体" w:cs="Times New Roman"/>
          <w:bCs/>
          <w:color w:val="000000" w:themeColor="text1"/>
          <w:sz w:val="30"/>
          <w:szCs w:val="30"/>
        </w:rPr>
        <w:t>评价适用标准</w:t>
      </w:r>
    </w:p>
    <w:tbl>
      <w:tblPr>
        <w:tblStyle w:val="40"/>
        <w:tblW w:w="91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6"/>
        <w:gridCol w:w="8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7" w:hRule="atLeast"/>
        </w:trPr>
        <w:tc>
          <w:tcPr>
            <w:tcW w:w="496" w:type="dxa"/>
            <w:tcBorders>
              <w:top w:val="single" w:color="auto" w:sz="12" w:space="0"/>
              <w:left w:val="single" w:color="auto" w:sz="12" w:space="0"/>
              <w:bottom w:val="single" w:color="auto" w:sz="6" w:space="0"/>
              <w:right w:val="single" w:color="auto" w:sz="6" w:space="0"/>
            </w:tcBorders>
            <w:vAlign w:val="center"/>
          </w:tcPr>
          <w:p>
            <w:pPr>
              <w:spacing w:line="44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环</w:t>
            </w:r>
          </w:p>
          <w:p>
            <w:pPr>
              <w:spacing w:line="44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境</w:t>
            </w:r>
          </w:p>
          <w:p>
            <w:pPr>
              <w:spacing w:line="44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质</w:t>
            </w:r>
          </w:p>
          <w:p>
            <w:pPr>
              <w:spacing w:line="44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量</w:t>
            </w:r>
          </w:p>
          <w:p>
            <w:pPr>
              <w:spacing w:line="44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标</w:t>
            </w:r>
          </w:p>
          <w:p>
            <w:pPr>
              <w:spacing w:line="360" w:lineRule="auto"/>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准</w:t>
            </w:r>
          </w:p>
        </w:tc>
        <w:tc>
          <w:tcPr>
            <w:tcW w:w="8684" w:type="dxa"/>
            <w:tcBorders>
              <w:top w:val="single" w:color="auto" w:sz="12" w:space="0"/>
              <w:left w:val="single" w:color="auto" w:sz="6" w:space="0"/>
              <w:bottom w:val="single" w:color="auto" w:sz="6" w:space="0"/>
              <w:right w:val="single" w:color="auto" w:sz="12" w:space="0"/>
            </w:tcBorders>
          </w:tcPr>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w:t>
            </w:r>
            <w:r>
              <w:rPr>
                <w:rFonts w:hint="eastAsia" w:ascii="Times New Roman" w:hAnsi="Times New Roman" w:cs="Times New Roman"/>
                <w:b/>
                <w:sz w:val="24"/>
                <w:szCs w:val="24"/>
              </w:rPr>
              <w:t>、</w:t>
            </w:r>
            <w:r>
              <w:rPr>
                <w:rFonts w:ascii="Times New Roman" w:hAnsi="Times New Roman" w:cs="Times New Roman"/>
                <w:b/>
                <w:sz w:val="24"/>
                <w:szCs w:val="24"/>
              </w:rPr>
              <w:t>大气环境质量标准</w:t>
            </w:r>
          </w:p>
          <w:p>
            <w:pPr>
              <w:pStyle w:val="22"/>
              <w:adjustRightInd w:val="0"/>
              <w:snapToGrid w:val="0"/>
              <w:spacing w:line="500" w:lineRule="exact"/>
              <w:ind w:firstLine="480" w:firstLineChars="200"/>
              <w:jc w:val="both"/>
              <w:rPr>
                <w:rFonts w:ascii="Times New Roman" w:hAnsi="Times New Roman" w:eastAsiaTheme="minorEastAsia"/>
              </w:rPr>
            </w:pPr>
            <w:r>
              <w:rPr>
                <w:rFonts w:ascii="Times New Roman" w:hAnsi="Times New Roman" w:eastAsiaTheme="minorEastAsia"/>
              </w:rPr>
              <w:t>根据《环境空气质量标准》（GB3095－2012）功能区划分，本项目的环境空气质量功能区属于二类功能区，执行《环境空气质量标准》中的二级标准。</w:t>
            </w:r>
          </w:p>
          <w:p>
            <w:pPr>
              <w:pStyle w:val="22"/>
              <w:adjustRightInd w:val="0"/>
              <w:snapToGrid w:val="0"/>
              <w:spacing w:line="500" w:lineRule="exact"/>
              <w:ind w:firstLine="111" w:firstLineChars="46"/>
              <w:rPr>
                <w:rFonts w:ascii="Times New Roman" w:hAnsi="Times New Roman" w:eastAsiaTheme="minorEastAsia"/>
                <w:b/>
                <w:bCs/>
              </w:rPr>
            </w:pPr>
            <w:r>
              <w:rPr>
                <w:rFonts w:ascii="Times New Roman" w:hAnsi="Times New Roman" w:eastAsiaTheme="minorEastAsia"/>
                <w:b/>
                <w:bCs/>
              </w:rPr>
              <w:t>表4-1环境空气质量标准</w:t>
            </w:r>
          </w:p>
          <w:tbl>
            <w:tblPr>
              <w:tblStyle w:val="40"/>
              <w:tblW w:w="84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207"/>
              <w:gridCol w:w="2207"/>
              <w:gridCol w:w="2203"/>
              <w:gridCol w:w="18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污染物</w:t>
                  </w:r>
                </w:p>
              </w:tc>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取值时间</w:t>
                  </w:r>
                </w:p>
              </w:tc>
              <w:tc>
                <w:tcPr>
                  <w:tcW w:w="2203"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二级标</w:t>
                  </w:r>
                  <w:r>
                    <w:rPr>
                      <w:rFonts w:ascii="Times New Roman" w:hAnsi="Times New Roman" w:cs="Times New Roman"/>
                      <w:szCs w:val="21"/>
                    </w:rPr>
                    <w:cr/>
                  </w:r>
                  <w:r>
                    <w:rPr>
                      <w:rFonts w:ascii="Times New Roman" w:hAnsi="Times New Roman" w:cs="Times New Roman"/>
                      <w:szCs w:val="21"/>
                    </w:rPr>
                    <w:t>浓度限值</w:t>
                  </w:r>
                </w:p>
              </w:tc>
              <w:tc>
                <w:tcPr>
                  <w:tcW w:w="1858"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浓度单位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二氧化硫</w:t>
                  </w:r>
                </w:p>
                <w:p>
                  <w:pPr>
                    <w:adjustRightInd w:val="0"/>
                    <w:snapToGrid w:val="0"/>
                    <w:jc w:val="center"/>
                    <w:rPr>
                      <w:rFonts w:ascii="Times New Roman" w:hAnsi="Times New Roman" w:cs="Times New Roman"/>
                      <w:szCs w:val="21"/>
                    </w:rPr>
                  </w:pPr>
                  <w:r>
                    <w:rPr>
                      <w:rFonts w:ascii="Times New Roman" w:hAnsi="Times New Roman" w:cs="Times New Roman"/>
                      <w:szCs w:val="21"/>
                    </w:rPr>
                    <w:t>（SO</w:t>
                  </w:r>
                  <w:r>
                    <w:rPr>
                      <w:rFonts w:ascii="Times New Roman" w:hAnsi="Times New Roman" w:cs="Times New Roman"/>
                      <w:szCs w:val="21"/>
                      <w:vertAlign w:val="subscript"/>
                    </w:rPr>
                    <w:t>2</w:t>
                  </w:r>
                  <w:r>
                    <w:rPr>
                      <w:rFonts w:ascii="Times New Roman" w:hAnsi="Times New Roman" w:cs="Times New Roman"/>
                      <w:szCs w:val="21"/>
                    </w:rPr>
                    <w:t>）</w:t>
                  </w:r>
                </w:p>
              </w:tc>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年平均</w:t>
                  </w:r>
                </w:p>
                <w:p>
                  <w:pPr>
                    <w:adjustRightInd w:val="0"/>
                    <w:snapToGrid w:val="0"/>
                    <w:jc w:val="center"/>
                    <w:rPr>
                      <w:rFonts w:ascii="Times New Roman" w:hAnsi="Times New Roman" w:cs="Times New Roman"/>
                      <w:szCs w:val="21"/>
                    </w:rPr>
                  </w:pPr>
                  <w:r>
                    <w:rPr>
                      <w:rFonts w:ascii="Times New Roman" w:hAnsi="Times New Roman" w:cs="Times New Roman"/>
                      <w:szCs w:val="21"/>
                    </w:rPr>
                    <w:t>24小时平均</w:t>
                  </w:r>
                </w:p>
                <w:p>
                  <w:pPr>
                    <w:adjustRightInd w:val="0"/>
                    <w:snapToGrid w:val="0"/>
                    <w:jc w:val="center"/>
                    <w:rPr>
                      <w:rFonts w:ascii="Times New Roman" w:hAnsi="Times New Roman" w:cs="Times New Roman"/>
                      <w:szCs w:val="21"/>
                    </w:rPr>
                  </w:pPr>
                  <w:r>
                    <w:rPr>
                      <w:rFonts w:ascii="Times New Roman" w:hAnsi="Times New Roman" w:cs="Times New Roman"/>
                      <w:szCs w:val="21"/>
                    </w:rPr>
                    <w:t>1小时</w:t>
                  </w:r>
                  <w:r>
                    <w:rPr>
                      <w:rFonts w:ascii="Times New Roman" w:hAnsi="Times New Roman" w:cs="Times New Roman"/>
                      <w:szCs w:val="21"/>
                    </w:rPr>
                    <w:cr/>
                  </w:r>
                  <w:r>
                    <w:rPr>
                      <w:rFonts w:ascii="Times New Roman" w:hAnsi="Times New Roman" w:cs="Times New Roman"/>
                      <w:szCs w:val="21"/>
                    </w:rPr>
                    <w:t>均</w:t>
                  </w:r>
                </w:p>
              </w:tc>
              <w:tc>
                <w:tcPr>
                  <w:tcW w:w="2203"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60</w:t>
                  </w:r>
                </w:p>
                <w:p>
                  <w:pPr>
                    <w:adjustRightInd w:val="0"/>
                    <w:snapToGrid w:val="0"/>
                    <w:jc w:val="center"/>
                    <w:rPr>
                      <w:rFonts w:ascii="Times New Roman" w:hAnsi="Times New Roman" w:cs="Times New Roman"/>
                      <w:szCs w:val="21"/>
                    </w:rPr>
                  </w:pPr>
                  <w:r>
                    <w:rPr>
                      <w:rFonts w:ascii="Times New Roman" w:hAnsi="Times New Roman" w:cs="Times New Roman"/>
                      <w:szCs w:val="21"/>
                    </w:rPr>
                    <w:t>150</w:t>
                  </w:r>
                </w:p>
                <w:p>
                  <w:pPr>
                    <w:adjustRightInd w:val="0"/>
                    <w:snapToGrid w:val="0"/>
                    <w:jc w:val="center"/>
                    <w:rPr>
                      <w:rFonts w:ascii="Times New Roman" w:hAnsi="Times New Roman" w:cs="Times New Roman"/>
                      <w:szCs w:val="21"/>
                    </w:rPr>
                  </w:pPr>
                  <w:r>
                    <w:rPr>
                      <w:rFonts w:ascii="Times New Roman" w:hAnsi="Times New Roman" w:cs="Times New Roman"/>
                      <w:szCs w:val="21"/>
                    </w:rPr>
                    <w:t>500</w:t>
                  </w:r>
                </w:p>
              </w:tc>
              <w:tc>
                <w:tcPr>
                  <w:tcW w:w="1858" w:type="dxa"/>
                  <w:vMerge w:val="restart"/>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ug/m</w:t>
                  </w:r>
                  <w:r>
                    <w:rPr>
                      <w:rFonts w:ascii="Times New Roman" w:hAnsi="Times New Roman" w:cs="Times New Roman"/>
                      <w:szCs w:val="21"/>
                      <w:vertAlign w:val="superscript"/>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总悬浮颗粒物</w:t>
                  </w:r>
                </w:p>
                <w:p>
                  <w:pPr>
                    <w:adjustRightInd w:val="0"/>
                    <w:snapToGrid w:val="0"/>
                    <w:jc w:val="center"/>
                    <w:rPr>
                      <w:rFonts w:ascii="Times New Roman" w:hAnsi="Times New Roman" w:cs="Times New Roman"/>
                      <w:szCs w:val="21"/>
                    </w:rPr>
                  </w:pPr>
                  <w:r>
                    <w:rPr>
                      <w:rFonts w:ascii="Times New Roman" w:hAnsi="Times New Roman" w:cs="Times New Roman"/>
                      <w:szCs w:val="21"/>
                    </w:rPr>
                    <w:t>（TSP）</w:t>
                  </w:r>
                </w:p>
              </w:tc>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年平均</w:t>
                  </w:r>
                </w:p>
                <w:p>
                  <w:pPr>
                    <w:adjustRightInd w:val="0"/>
                    <w:snapToGrid w:val="0"/>
                    <w:jc w:val="center"/>
                    <w:rPr>
                      <w:rFonts w:ascii="Times New Roman" w:hAnsi="Times New Roman" w:cs="Times New Roman"/>
                      <w:szCs w:val="21"/>
                    </w:rPr>
                  </w:pPr>
                  <w:r>
                    <w:rPr>
                      <w:rFonts w:ascii="Times New Roman" w:hAnsi="Times New Roman" w:cs="Times New Roman"/>
                      <w:szCs w:val="21"/>
                    </w:rPr>
                    <w:t>24小时平均</w:t>
                  </w:r>
                </w:p>
              </w:tc>
              <w:tc>
                <w:tcPr>
                  <w:tcW w:w="2203"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200</w:t>
                  </w:r>
                </w:p>
                <w:p>
                  <w:pPr>
                    <w:adjustRightInd w:val="0"/>
                    <w:snapToGrid w:val="0"/>
                    <w:jc w:val="center"/>
                    <w:rPr>
                      <w:rFonts w:ascii="Times New Roman" w:hAnsi="Times New Roman" w:cs="Times New Roman"/>
                      <w:szCs w:val="21"/>
                    </w:rPr>
                  </w:pPr>
                  <w:r>
                    <w:rPr>
                      <w:rFonts w:ascii="Times New Roman" w:hAnsi="Times New Roman" w:cs="Times New Roman"/>
                      <w:szCs w:val="21"/>
                    </w:rPr>
                    <w:t>300</w:t>
                  </w:r>
                </w:p>
              </w:tc>
              <w:tc>
                <w:tcPr>
                  <w:tcW w:w="1858" w:type="dxa"/>
                  <w:vMerge w:val="continue"/>
                  <w:tcBorders>
                    <w:tl2br w:val="nil"/>
                    <w:tr2bl w:val="nil"/>
                  </w:tcBorders>
                  <w:vAlign w:val="center"/>
                </w:tcPr>
                <w:p>
                  <w:pPr>
                    <w:adjustRightInd w:val="0"/>
                    <w:snapToGrid w:val="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可吸入颗粒物</w:t>
                  </w:r>
                </w:p>
                <w:p>
                  <w:pPr>
                    <w:adjustRightInd w:val="0"/>
                    <w:snapToGrid w:val="0"/>
                    <w:jc w:val="center"/>
                    <w:rPr>
                      <w:rFonts w:ascii="Times New Roman" w:hAnsi="Times New Roman" w:cs="Times New Roman"/>
                      <w:szCs w:val="21"/>
                    </w:rPr>
                  </w:pPr>
                  <w:r>
                    <w:rPr>
                      <w:rFonts w:ascii="Times New Roman" w:hAnsi="Times New Roman" w:cs="Times New Roman"/>
                      <w:szCs w:val="21"/>
                    </w:rPr>
                    <w:t>（PM</w:t>
                  </w:r>
                  <w:r>
                    <w:rPr>
                      <w:rFonts w:ascii="Times New Roman" w:hAnsi="Times New Roman" w:cs="Times New Roman"/>
                      <w:szCs w:val="21"/>
                      <w:vertAlign w:val="subscript"/>
                    </w:rPr>
                    <w:t>10</w:t>
                  </w:r>
                  <w:r>
                    <w:rPr>
                      <w:rFonts w:ascii="Times New Roman" w:hAnsi="Times New Roman" w:cs="Times New Roman"/>
                      <w:szCs w:val="21"/>
                    </w:rPr>
                    <w:t>）</w:t>
                  </w:r>
                </w:p>
              </w:tc>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年平均</w:t>
                  </w:r>
                </w:p>
                <w:p>
                  <w:pPr>
                    <w:adjustRightInd w:val="0"/>
                    <w:snapToGrid w:val="0"/>
                    <w:jc w:val="center"/>
                    <w:rPr>
                      <w:rFonts w:ascii="Times New Roman" w:hAnsi="Times New Roman" w:cs="Times New Roman"/>
                      <w:szCs w:val="21"/>
                    </w:rPr>
                  </w:pPr>
                  <w:r>
                    <w:rPr>
                      <w:rFonts w:ascii="Times New Roman" w:hAnsi="Times New Roman" w:cs="Times New Roman"/>
                      <w:szCs w:val="21"/>
                    </w:rPr>
                    <w:t>24小时平均</w:t>
                  </w:r>
                </w:p>
              </w:tc>
              <w:tc>
                <w:tcPr>
                  <w:tcW w:w="2203"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70</w:t>
                  </w:r>
                </w:p>
                <w:p>
                  <w:pPr>
                    <w:adjustRightInd w:val="0"/>
                    <w:snapToGrid w:val="0"/>
                    <w:jc w:val="center"/>
                    <w:rPr>
                      <w:rFonts w:ascii="Times New Roman" w:hAnsi="Times New Roman" w:cs="Times New Roman"/>
                      <w:szCs w:val="21"/>
                    </w:rPr>
                  </w:pPr>
                  <w:r>
                    <w:rPr>
                      <w:rFonts w:ascii="Times New Roman" w:hAnsi="Times New Roman" w:cs="Times New Roman"/>
                      <w:szCs w:val="21"/>
                    </w:rPr>
                    <w:t>150</w:t>
                  </w:r>
                </w:p>
              </w:tc>
              <w:tc>
                <w:tcPr>
                  <w:tcW w:w="1858" w:type="dxa"/>
                  <w:vMerge w:val="continue"/>
                  <w:tcBorders>
                    <w:tl2br w:val="nil"/>
                    <w:tr2bl w:val="nil"/>
                  </w:tcBorders>
                  <w:vAlign w:val="center"/>
                </w:tcPr>
                <w:p>
                  <w:pPr>
                    <w:adjustRightInd w:val="0"/>
                    <w:snapToGrid w:val="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可吸入颗粒物</w:t>
                  </w:r>
                </w:p>
                <w:p>
                  <w:pPr>
                    <w:pStyle w:val="27"/>
                    <w:ind w:firstLine="0"/>
                    <w:jc w:val="center"/>
                    <w:rPr>
                      <w:rFonts w:eastAsiaTheme="minorEastAsia"/>
                      <w:sz w:val="21"/>
                      <w:szCs w:val="21"/>
                    </w:rPr>
                  </w:pPr>
                  <w:r>
                    <w:rPr>
                      <w:rFonts w:eastAsiaTheme="minorEastAsia"/>
                      <w:sz w:val="21"/>
                      <w:szCs w:val="21"/>
                    </w:rPr>
                    <w:t>（PM</w:t>
                  </w:r>
                  <w:r>
                    <w:rPr>
                      <w:rFonts w:eastAsiaTheme="minorEastAsia"/>
                      <w:sz w:val="21"/>
                      <w:szCs w:val="21"/>
                      <w:vertAlign w:val="subscript"/>
                    </w:rPr>
                    <w:t>2.5</w:t>
                  </w:r>
                  <w:r>
                    <w:rPr>
                      <w:rFonts w:eastAsiaTheme="minorEastAsia"/>
                      <w:sz w:val="21"/>
                      <w:szCs w:val="21"/>
                    </w:rPr>
                    <w:t>）</w:t>
                  </w:r>
                </w:p>
              </w:tc>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年平均</w:t>
                  </w:r>
                </w:p>
                <w:p>
                  <w:pPr>
                    <w:adjustRightInd w:val="0"/>
                    <w:snapToGrid w:val="0"/>
                    <w:jc w:val="center"/>
                    <w:rPr>
                      <w:rFonts w:ascii="Times New Roman" w:hAnsi="Times New Roman" w:cs="Times New Roman"/>
                      <w:szCs w:val="21"/>
                    </w:rPr>
                  </w:pPr>
                  <w:r>
                    <w:rPr>
                      <w:rFonts w:ascii="Times New Roman" w:hAnsi="Times New Roman" w:cs="Times New Roman"/>
                      <w:szCs w:val="21"/>
                    </w:rPr>
                    <w:t>24小时平均</w:t>
                  </w:r>
                </w:p>
              </w:tc>
              <w:tc>
                <w:tcPr>
                  <w:tcW w:w="2203"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35</w:t>
                  </w:r>
                </w:p>
                <w:p>
                  <w:pPr>
                    <w:pStyle w:val="27"/>
                    <w:ind w:firstLine="840" w:firstLineChars="400"/>
                    <w:rPr>
                      <w:rFonts w:eastAsiaTheme="minorEastAsia"/>
                      <w:sz w:val="21"/>
                      <w:szCs w:val="21"/>
                    </w:rPr>
                  </w:pPr>
                  <w:r>
                    <w:rPr>
                      <w:rFonts w:eastAsiaTheme="minorEastAsia"/>
                      <w:sz w:val="21"/>
                      <w:szCs w:val="21"/>
                    </w:rPr>
                    <w:t>75</w:t>
                  </w:r>
                </w:p>
              </w:tc>
              <w:tc>
                <w:tcPr>
                  <w:tcW w:w="1858" w:type="dxa"/>
                  <w:vMerge w:val="continue"/>
                  <w:tcBorders>
                    <w:tl2br w:val="nil"/>
                    <w:tr2bl w:val="nil"/>
                  </w:tcBorders>
                  <w:vAlign w:val="center"/>
                </w:tcPr>
                <w:p>
                  <w:pPr>
                    <w:adjustRightInd w:val="0"/>
                    <w:snapToGrid w:val="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二氧化氮</w:t>
                  </w:r>
                </w:p>
                <w:p>
                  <w:pPr>
                    <w:adjustRightInd w:val="0"/>
                    <w:snapToGrid w:val="0"/>
                    <w:jc w:val="center"/>
                    <w:rPr>
                      <w:rFonts w:ascii="Times New Roman" w:hAnsi="Times New Roman" w:cs="Times New Roman"/>
                      <w:szCs w:val="21"/>
                    </w:rPr>
                  </w:pPr>
                  <w:r>
                    <w:rPr>
                      <w:rFonts w:ascii="Times New Roman" w:hAnsi="Times New Roman" w:cs="Times New Roman"/>
                      <w:szCs w:val="21"/>
                    </w:rPr>
                    <w:t>（NO</w:t>
                  </w:r>
                  <w:r>
                    <w:rPr>
                      <w:rFonts w:ascii="Times New Roman" w:hAnsi="Times New Roman" w:cs="Times New Roman"/>
                      <w:szCs w:val="21"/>
                      <w:vertAlign w:val="subscript"/>
                    </w:rPr>
                    <w:t>2</w:t>
                  </w:r>
                  <w:r>
                    <w:rPr>
                      <w:rFonts w:ascii="Times New Roman" w:hAnsi="Times New Roman" w:cs="Times New Roman"/>
                      <w:szCs w:val="21"/>
                    </w:rPr>
                    <w:t>）</w:t>
                  </w:r>
                </w:p>
              </w:tc>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年平均</w:t>
                  </w:r>
                </w:p>
                <w:p>
                  <w:pPr>
                    <w:adjustRightInd w:val="0"/>
                    <w:snapToGrid w:val="0"/>
                    <w:jc w:val="center"/>
                    <w:rPr>
                      <w:rFonts w:ascii="Times New Roman" w:hAnsi="Times New Roman" w:cs="Times New Roman"/>
                      <w:szCs w:val="21"/>
                    </w:rPr>
                  </w:pPr>
                  <w:r>
                    <w:rPr>
                      <w:rFonts w:ascii="Times New Roman" w:hAnsi="Times New Roman" w:cs="Times New Roman"/>
                      <w:szCs w:val="21"/>
                    </w:rPr>
                    <w:t>24小时平均</w:t>
                  </w:r>
                </w:p>
                <w:p>
                  <w:pPr>
                    <w:adjustRightInd w:val="0"/>
                    <w:snapToGrid w:val="0"/>
                    <w:jc w:val="center"/>
                    <w:rPr>
                      <w:rFonts w:ascii="Times New Roman" w:hAnsi="Times New Roman" w:cs="Times New Roman"/>
                      <w:szCs w:val="21"/>
                    </w:rPr>
                  </w:pPr>
                  <w:r>
                    <w:rPr>
                      <w:rFonts w:ascii="Times New Roman" w:hAnsi="Times New Roman" w:cs="Times New Roman"/>
                      <w:szCs w:val="21"/>
                    </w:rPr>
                    <w:t>1小时平均</w:t>
                  </w:r>
                </w:p>
              </w:tc>
              <w:tc>
                <w:tcPr>
                  <w:tcW w:w="2203"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40</w:t>
                  </w:r>
                </w:p>
                <w:p>
                  <w:pPr>
                    <w:adjustRightInd w:val="0"/>
                    <w:snapToGrid w:val="0"/>
                    <w:jc w:val="center"/>
                    <w:rPr>
                      <w:rFonts w:ascii="Times New Roman" w:hAnsi="Times New Roman" w:cs="Times New Roman"/>
                      <w:szCs w:val="21"/>
                    </w:rPr>
                  </w:pPr>
                  <w:r>
                    <w:rPr>
                      <w:rFonts w:ascii="Times New Roman" w:hAnsi="Times New Roman" w:cs="Times New Roman"/>
                      <w:szCs w:val="21"/>
                    </w:rPr>
                    <w:t>80</w:t>
                  </w:r>
                </w:p>
                <w:p>
                  <w:pPr>
                    <w:adjustRightInd w:val="0"/>
                    <w:snapToGrid w:val="0"/>
                    <w:jc w:val="center"/>
                    <w:rPr>
                      <w:rFonts w:ascii="Times New Roman" w:hAnsi="Times New Roman" w:cs="Times New Roman"/>
                      <w:szCs w:val="21"/>
                    </w:rPr>
                  </w:pPr>
                  <w:r>
                    <w:rPr>
                      <w:rFonts w:ascii="Times New Roman" w:hAnsi="Times New Roman" w:cs="Times New Roman"/>
                      <w:szCs w:val="21"/>
                    </w:rPr>
                    <w:t>200</w:t>
                  </w:r>
                </w:p>
              </w:tc>
              <w:tc>
                <w:tcPr>
                  <w:tcW w:w="1858" w:type="dxa"/>
                  <w:vMerge w:val="continue"/>
                  <w:tcBorders>
                    <w:tl2br w:val="nil"/>
                    <w:tr2bl w:val="nil"/>
                  </w:tcBorders>
                  <w:vAlign w:val="center"/>
                </w:tcPr>
                <w:p>
                  <w:pPr>
                    <w:adjustRightInd w:val="0"/>
                    <w:snapToGrid w:val="0"/>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一氧化碳</w:t>
                  </w:r>
                </w:p>
                <w:p>
                  <w:pPr>
                    <w:pStyle w:val="2"/>
                    <w:autoSpaceDE/>
                    <w:autoSpaceDN/>
                    <w:ind w:firstLine="630" w:firstLineChars="300"/>
                    <w:jc w:val="both"/>
                    <w:rPr>
                      <w:rFonts w:ascii="Times New Roman" w:cs="Times New Roman" w:eastAsiaTheme="minorEastAsia"/>
                      <w:sz w:val="21"/>
                      <w:szCs w:val="21"/>
                    </w:rPr>
                  </w:pPr>
                  <w:r>
                    <w:rPr>
                      <w:rFonts w:ascii="Times New Roman" w:cs="Times New Roman" w:eastAsiaTheme="minorEastAsia"/>
                      <w:sz w:val="21"/>
                      <w:szCs w:val="21"/>
                    </w:rPr>
                    <w:t>（CO）</w:t>
                  </w:r>
                </w:p>
              </w:tc>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24小时平均</w:t>
                  </w:r>
                </w:p>
                <w:p>
                  <w:pPr>
                    <w:adjustRightInd w:val="0"/>
                    <w:snapToGrid w:val="0"/>
                    <w:jc w:val="center"/>
                    <w:rPr>
                      <w:rFonts w:ascii="Times New Roman" w:hAnsi="Times New Roman" w:cs="Times New Roman"/>
                      <w:szCs w:val="21"/>
                    </w:rPr>
                  </w:pPr>
                  <w:r>
                    <w:rPr>
                      <w:rFonts w:ascii="Times New Roman" w:hAnsi="Times New Roman" w:cs="Times New Roman"/>
                      <w:szCs w:val="21"/>
                    </w:rPr>
                    <w:t>1小时平均</w:t>
                  </w:r>
                </w:p>
              </w:tc>
              <w:tc>
                <w:tcPr>
                  <w:tcW w:w="2203"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4</w:t>
                  </w:r>
                </w:p>
                <w:p>
                  <w:pPr>
                    <w:adjustRightInd w:val="0"/>
                    <w:snapToGrid w:val="0"/>
                    <w:jc w:val="center"/>
                    <w:rPr>
                      <w:rFonts w:ascii="Times New Roman" w:hAnsi="Times New Roman" w:cs="Times New Roman"/>
                      <w:szCs w:val="21"/>
                    </w:rPr>
                  </w:pPr>
                  <w:r>
                    <w:rPr>
                      <w:rFonts w:ascii="Times New Roman" w:hAnsi="Times New Roman" w:cs="Times New Roman"/>
                      <w:szCs w:val="21"/>
                    </w:rPr>
                    <w:t>10</w:t>
                  </w:r>
                </w:p>
              </w:tc>
              <w:tc>
                <w:tcPr>
                  <w:tcW w:w="1858"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mg/m</w:t>
                  </w:r>
                  <w:r>
                    <w:rPr>
                      <w:rFonts w:ascii="Times New Roman" w:hAnsi="Times New Roman" w:cs="Times New Roman"/>
                      <w:szCs w:val="21"/>
                      <w:vertAlign w:val="superscript"/>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2207" w:type="dxa"/>
                  <w:tcBorders>
                    <w:tl2br w:val="nil"/>
                    <w:tr2bl w:val="nil"/>
                  </w:tcBorders>
                  <w:vAlign w:val="center"/>
                </w:tcPr>
                <w:p>
                  <w:pPr>
                    <w:pStyle w:val="2"/>
                    <w:autoSpaceDE/>
                    <w:autoSpaceDN/>
                    <w:ind w:firstLine="630" w:firstLineChars="300"/>
                    <w:jc w:val="both"/>
                    <w:rPr>
                      <w:rFonts w:ascii="Times New Roman" w:cs="Times New Roman" w:eastAsiaTheme="minorEastAsia"/>
                      <w:sz w:val="21"/>
                      <w:szCs w:val="21"/>
                    </w:rPr>
                  </w:pPr>
                  <w:r>
                    <w:rPr>
                      <w:rFonts w:ascii="Times New Roman" w:cs="Times New Roman" w:eastAsiaTheme="minorEastAsia"/>
                      <w:sz w:val="21"/>
                      <w:szCs w:val="21"/>
                    </w:rPr>
                    <w:t>臭氧</w:t>
                  </w:r>
                </w:p>
                <w:p>
                  <w:pPr>
                    <w:pStyle w:val="2"/>
                    <w:autoSpaceDE/>
                    <w:autoSpaceDN/>
                    <w:ind w:firstLine="630" w:firstLineChars="300"/>
                    <w:jc w:val="both"/>
                    <w:rPr>
                      <w:rFonts w:ascii="Times New Roman" w:cs="Times New Roman" w:eastAsiaTheme="minorEastAsia"/>
                      <w:sz w:val="21"/>
                      <w:szCs w:val="21"/>
                    </w:rPr>
                  </w:pPr>
                  <w:r>
                    <w:rPr>
                      <w:rFonts w:ascii="Times New Roman" w:cs="Times New Roman" w:eastAsiaTheme="minorEastAsia"/>
                      <w:sz w:val="21"/>
                      <w:szCs w:val="21"/>
                    </w:rPr>
                    <w:t>（O</w:t>
                  </w:r>
                  <w:r>
                    <w:rPr>
                      <w:rFonts w:ascii="Times New Roman" w:cs="Times New Roman" w:eastAsiaTheme="minorEastAsia"/>
                      <w:sz w:val="21"/>
                      <w:szCs w:val="21"/>
                      <w:vertAlign w:val="subscript"/>
                    </w:rPr>
                    <w:t>3</w:t>
                  </w:r>
                  <w:r>
                    <w:rPr>
                      <w:rFonts w:ascii="Times New Roman" w:cs="Times New Roman" w:eastAsiaTheme="minorEastAsia"/>
                      <w:sz w:val="21"/>
                      <w:szCs w:val="21"/>
                    </w:rPr>
                    <w:t>）</w:t>
                  </w:r>
                </w:p>
              </w:tc>
              <w:tc>
                <w:tcPr>
                  <w:tcW w:w="2207"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24小时平均</w:t>
                  </w:r>
                </w:p>
                <w:p>
                  <w:pPr>
                    <w:adjustRightInd w:val="0"/>
                    <w:snapToGrid w:val="0"/>
                    <w:jc w:val="center"/>
                    <w:rPr>
                      <w:rFonts w:ascii="Times New Roman" w:hAnsi="Times New Roman" w:cs="Times New Roman"/>
                      <w:szCs w:val="21"/>
                    </w:rPr>
                  </w:pPr>
                  <w:r>
                    <w:rPr>
                      <w:rFonts w:ascii="Times New Roman" w:hAnsi="Times New Roman" w:cs="Times New Roman"/>
                      <w:szCs w:val="21"/>
                    </w:rPr>
                    <w:t>1小时平均</w:t>
                  </w:r>
                </w:p>
              </w:tc>
              <w:tc>
                <w:tcPr>
                  <w:tcW w:w="2203"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160（8h）</w:t>
                  </w:r>
                </w:p>
                <w:p>
                  <w:pPr>
                    <w:pStyle w:val="2"/>
                    <w:autoSpaceDE/>
                    <w:autoSpaceDN/>
                    <w:jc w:val="center"/>
                    <w:rPr>
                      <w:rFonts w:ascii="Times New Roman" w:cs="Times New Roman" w:eastAsiaTheme="minorEastAsia"/>
                      <w:sz w:val="21"/>
                      <w:szCs w:val="21"/>
                    </w:rPr>
                  </w:pPr>
                  <w:r>
                    <w:rPr>
                      <w:rFonts w:ascii="Times New Roman" w:cs="Times New Roman" w:eastAsiaTheme="minorEastAsia"/>
                      <w:sz w:val="21"/>
                      <w:szCs w:val="21"/>
                    </w:rPr>
                    <w:t>200</w:t>
                  </w:r>
                </w:p>
              </w:tc>
              <w:tc>
                <w:tcPr>
                  <w:tcW w:w="1858"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ug/m</w:t>
                  </w:r>
                  <w:r>
                    <w:rPr>
                      <w:rFonts w:ascii="Times New Roman" w:hAnsi="Times New Roman" w:cs="Times New Roman"/>
                      <w:szCs w:val="21"/>
                      <w:vertAlign w:val="superscript"/>
                    </w:rPr>
                    <w:t>3</w:t>
                  </w:r>
                </w:p>
              </w:tc>
            </w:tr>
          </w:tbl>
          <w:p>
            <w:pPr>
              <w:tabs>
                <w:tab w:val="left" w:pos="0"/>
              </w:tabs>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2</w:t>
            </w:r>
            <w:r>
              <w:rPr>
                <w:rFonts w:hint="eastAsia" w:ascii="Times New Roman" w:hAnsi="Times New Roman" w:cs="Times New Roman"/>
                <w:b/>
                <w:sz w:val="24"/>
                <w:szCs w:val="24"/>
              </w:rPr>
              <w:t>、</w:t>
            </w:r>
            <w:r>
              <w:rPr>
                <w:rFonts w:ascii="Times New Roman" w:hAnsi="Times New Roman" w:cs="Times New Roman"/>
                <w:b/>
                <w:sz w:val="24"/>
                <w:szCs w:val="24"/>
              </w:rPr>
              <w:t>地表水环境质量标准</w:t>
            </w:r>
          </w:p>
          <w:p>
            <w:pPr>
              <w:spacing w:line="500" w:lineRule="exact"/>
              <w:ind w:firstLine="470" w:firstLineChars="196"/>
              <w:rPr>
                <w:rFonts w:ascii="Times New Roman" w:hAnsi="Times New Roman" w:cs="Times New Roman"/>
                <w:sz w:val="24"/>
                <w:szCs w:val="24"/>
              </w:rPr>
            </w:pPr>
            <w:r>
              <w:rPr>
                <w:rFonts w:ascii="Times New Roman" w:hAnsi="Times New Roman" w:cs="Times New Roman"/>
                <w:sz w:val="24"/>
                <w:szCs w:val="24"/>
              </w:rPr>
              <w:t>本次项目评价区地表水属于海河流域滹沱河水系，根据《山西省地表水水环境功能区划》（DB14/67-2019），</w:t>
            </w:r>
            <w:r>
              <w:rPr>
                <w:rFonts w:hint="eastAsia" w:ascii="Times New Roman" w:hAnsi="Times New Roman" w:eastAsia="宋体" w:cs="Times New Roman"/>
                <w:bCs/>
                <w:sz w:val="24"/>
                <w:szCs w:val="24"/>
              </w:rPr>
              <w:t>项目所在地地表水属下茹越水库出口-济胜桥，监控断面为小寨</w:t>
            </w:r>
            <w:r>
              <w:rPr>
                <w:rFonts w:ascii="Times New Roman" w:hAnsi="Times New Roman" w:cs="Times New Roman"/>
                <w:sz w:val="24"/>
                <w:szCs w:val="24"/>
              </w:rPr>
              <w:t>，执行《地表水环境质量标准》（GB3838-2002）</w:t>
            </w:r>
            <w:r>
              <w:rPr>
                <w:rFonts w:ascii="Times New Roman" w:hAnsi="Times New Roman" w:eastAsia="宋体" w:cs="Times New Roman"/>
                <w:bCs/>
                <w:sz w:val="24"/>
                <w:szCs w:val="24"/>
              </w:rPr>
              <w:t>中</w:t>
            </w:r>
            <w:r>
              <w:rPr>
                <w:rFonts w:hint="eastAsia" w:ascii="Times New Roman" w:hAnsi="Times New Roman" w:eastAsia="宋体" w:cs="Times New Roman"/>
                <w:bCs/>
                <w:sz w:val="24"/>
                <w:szCs w:val="24"/>
              </w:rPr>
              <w:t>Ⅳ</w:t>
            </w:r>
            <w:r>
              <w:rPr>
                <w:rFonts w:ascii="Times New Roman" w:hAnsi="Times New Roman" w:eastAsia="宋体" w:cs="Times New Roman"/>
                <w:bCs/>
                <w:sz w:val="24"/>
                <w:szCs w:val="24"/>
              </w:rPr>
              <w:t>类标准</w:t>
            </w:r>
            <w:r>
              <w:rPr>
                <w:rFonts w:ascii="Times New Roman" w:hAnsi="Times New Roman" w:cs="Times New Roman"/>
                <w:sz w:val="24"/>
                <w:szCs w:val="24"/>
              </w:rPr>
              <w:t>。</w:t>
            </w:r>
          </w:p>
          <w:p>
            <w:pPr>
              <w:spacing w:line="500" w:lineRule="exact"/>
              <w:ind w:firstLine="470" w:firstLineChars="196"/>
              <w:rPr>
                <w:rFonts w:ascii="Times New Roman" w:hAnsi="Times New Roman" w:cs="Times New Roman"/>
                <w:sz w:val="24"/>
                <w:szCs w:val="24"/>
              </w:rPr>
            </w:pPr>
            <w:r>
              <w:rPr>
                <w:rFonts w:ascii="Times New Roman" w:hAnsi="Times New Roman" w:cs="Times New Roman"/>
                <w:sz w:val="24"/>
                <w:szCs w:val="24"/>
              </w:rPr>
              <w:t>具体标准值见下表。</w:t>
            </w:r>
          </w:p>
          <w:p>
            <w:pPr>
              <w:spacing w:line="420" w:lineRule="exact"/>
              <w:ind w:firstLine="954" w:firstLineChars="396"/>
              <w:jc w:val="center"/>
              <w:rPr>
                <w:rFonts w:ascii="Times New Roman" w:hAnsi="Times New Roman" w:cs="Times New Roman"/>
                <w:b/>
                <w:bCs/>
                <w:sz w:val="24"/>
                <w:szCs w:val="24"/>
              </w:rPr>
            </w:pPr>
            <w:r>
              <w:rPr>
                <w:rFonts w:ascii="Times New Roman" w:hAnsi="Times New Roman" w:cs="Times New Roman"/>
                <w:b/>
                <w:bCs/>
                <w:sz w:val="24"/>
                <w:szCs w:val="24"/>
              </w:rPr>
              <w:t>表4-2地表水环境质量标准   单位：mg/L （pH除外）</w:t>
            </w:r>
          </w:p>
          <w:tbl>
            <w:tblPr>
              <w:tblStyle w:val="40"/>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782"/>
              <w:gridCol w:w="1376"/>
              <w:gridCol w:w="1376"/>
              <w:gridCol w:w="1376"/>
              <w:gridCol w:w="1377"/>
              <w:gridCol w:w="12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8" w:hRule="exact"/>
                <w:jc w:val="center"/>
              </w:trPr>
              <w:tc>
                <w:tcPr>
                  <w:tcW w:w="1041"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cs="Times New Roman"/>
                      <w:bCs/>
                      <w:szCs w:val="21"/>
                    </w:rPr>
                    <w:t>项目</w:t>
                  </w:r>
                </w:p>
              </w:tc>
              <w:tc>
                <w:tcPr>
                  <w:tcW w:w="804"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cs="Times New Roman"/>
                      <w:bCs/>
                      <w:szCs w:val="21"/>
                    </w:rPr>
                    <w:t>PH</w:t>
                  </w:r>
                </w:p>
              </w:tc>
              <w:tc>
                <w:tcPr>
                  <w:tcW w:w="804"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cs="Times New Roman"/>
                      <w:bCs/>
                      <w:szCs w:val="21"/>
                    </w:rPr>
                    <w:t>CODcr</w:t>
                  </w:r>
                </w:p>
              </w:tc>
              <w:tc>
                <w:tcPr>
                  <w:tcW w:w="804"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cs="Times New Roman"/>
                      <w:bCs/>
                      <w:szCs w:val="21"/>
                    </w:rPr>
                    <w:t>BOD</w:t>
                  </w:r>
                  <w:r>
                    <w:rPr>
                      <w:rFonts w:ascii="Times New Roman" w:hAnsi="Times New Roman" w:cs="Times New Roman"/>
                      <w:bCs/>
                      <w:szCs w:val="21"/>
                      <w:vertAlign w:val="subscript"/>
                    </w:rPr>
                    <w:t>5</w:t>
                  </w:r>
                </w:p>
              </w:tc>
              <w:tc>
                <w:tcPr>
                  <w:tcW w:w="804"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cs="Times New Roman"/>
                      <w:bCs/>
                      <w:szCs w:val="21"/>
                    </w:rPr>
                    <w:t>氨氮</w:t>
                  </w:r>
                </w:p>
              </w:tc>
              <w:tc>
                <w:tcPr>
                  <w:tcW w:w="741"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cs="Times New Roman"/>
                      <w:bCs/>
                      <w:szCs w:val="21"/>
                    </w:rPr>
                    <w:t>石油类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8" w:hRule="exact"/>
                <w:jc w:val="center"/>
              </w:trPr>
              <w:tc>
                <w:tcPr>
                  <w:tcW w:w="1041"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cs="Times New Roman"/>
                      <w:bCs/>
                      <w:szCs w:val="21"/>
                    </w:rPr>
                    <w:t>标准值</w:t>
                  </w:r>
                </w:p>
              </w:tc>
              <w:tc>
                <w:tcPr>
                  <w:tcW w:w="804"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cs="Times New Roman"/>
                      <w:bCs/>
                      <w:szCs w:val="21"/>
                    </w:rPr>
                    <w:t>6-9</w:t>
                  </w:r>
                </w:p>
              </w:tc>
              <w:tc>
                <w:tcPr>
                  <w:tcW w:w="804" w:type="pct"/>
                  <w:tcBorders>
                    <w:tl2br w:val="nil"/>
                    <w:tr2bl w:val="nil"/>
                  </w:tcBorders>
                  <w:vAlign w:val="center"/>
                </w:tcPr>
                <w:p>
                  <w:pPr>
                    <w:spacing w:line="360" w:lineRule="exact"/>
                    <w:jc w:val="center"/>
                    <w:rPr>
                      <w:rFonts w:ascii="Times New Roman" w:hAnsi="Times New Roman" w:eastAsia="仿宋_GB2312" w:cs="Times New Roman"/>
                      <w:bCs/>
                      <w:szCs w:val="21"/>
                    </w:rPr>
                  </w:pPr>
                  <w:r>
                    <w:rPr>
                      <w:rFonts w:ascii="Times New Roman" w:hAnsi="Times New Roman" w:eastAsia="仿宋_GB2312" w:cs="Times New Roman"/>
                      <w:bCs/>
                      <w:szCs w:val="21"/>
                    </w:rPr>
                    <w:t>≤</w:t>
                  </w:r>
                  <w:r>
                    <w:rPr>
                      <w:rFonts w:hint="eastAsia" w:ascii="Times New Roman" w:hAnsi="Times New Roman" w:eastAsia="仿宋_GB2312" w:cs="Times New Roman"/>
                      <w:bCs/>
                      <w:szCs w:val="21"/>
                    </w:rPr>
                    <w:t>30</w:t>
                  </w:r>
                </w:p>
              </w:tc>
              <w:tc>
                <w:tcPr>
                  <w:tcW w:w="804" w:type="pct"/>
                  <w:tcBorders>
                    <w:tl2br w:val="nil"/>
                    <w:tr2bl w:val="nil"/>
                  </w:tcBorders>
                  <w:vAlign w:val="center"/>
                </w:tcPr>
                <w:p>
                  <w:pPr>
                    <w:spacing w:line="360" w:lineRule="exact"/>
                    <w:jc w:val="center"/>
                    <w:rPr>
                      <w:rFonts w:ascii="Times New Roman" w:hAnsi="Times New Roman" w:eastAsia="仿宋_GB2312" w:cs="Times New Roman"/>
                      <w:bCs/>
                      <w:szCs w:val="21"/>
                    </w:rPr>
                  </w:pPr>
                  <w:r>
                    <w:rPr>
                      <w:rFonts w:ascii="Times New Roman" w:hAnsi="Times New Roman" w:eastAsia="仿宋_GB2312" w:cs="Times New Roman"/>
                      <w:bCs/>
                      <w:szCs w:val="21"/>
                    </w:rPr>
                    <w:t>≤</w:t>
                  </w:r>
                  <w:r>
                    <w:rPr>
                      <w:rFonts w:hint="eastAsia" w:ascii="Times New Roman" w:hAnsi="Times New Roman" w:eastAsia="仿宋_GB2312" w:cs="Times New Roman"/>
                      <w:bCs/>
                      <w:szCs w:val="21"/>
                    </w:rPr>
                    <w:t>6</w:t>
                  </w:r>
                </w:p>
              </w:tc>
              <w:tc>
                <w:tcPr>
                  <w:tcW w:w="804"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eastAsia="仿宋_GB2312" w:cs="Times New Roman"/>
                      <w:bCs/>
                      <w:szCs w:val="21"/>
                    </w:rPr>
                    <w:t>≤</w:t>
                  </w:r>
                  <w:r>
                    <w:rPr>
                      <w:rFonts w:ascii="Times New Roman" w:hAnsi="Times New Roman" w:cs="Times New Roman"/>
                      <w:bCs/>
                      <w:szCs w:val="21"/>
                    </w:rPr>
                    <w:t>1.</w:t>
                  </w:r>
                  <w:r>
                    <w:rPr>
                      <w:rFonts w:hint="eastAsia" w:ascii="Times New Roman" w:hAnsi="Times New Roman" w:cs="Times New Roman"/>
                      <w:bCs/>
                      <w:szCs w:val="21"/>
                    </w:rPr>
                    <w:t>5</w:t>
                  </w:r>
                </w:p>
              </w:tc>
              <w:tc>
                <w:tcPr>
                  <w:tcW w:w="741" w:type="pct"/>
                  <w:tcBorders>
                    <w:tl2br w:val="nil"/>
                    <w:tr2bl w:val="nil"/>
                  </w:tcBorders>
                  <w:vAlign w:val="center"/>
                </w:tcPr>
                <w:p>
                  <w:pPr>
                    <w:spacing w:line="360" w:lineRule="exact"/>
                    <w:jc w:val="center"/>
                    <w:rPr>
                      <w:rFonts w:ascii="Times New Roman" w:hAnsi="Times New Roman" w:cs="Times New Roman"/>
                      <w:bCs/>
                      <w:szCs w:val="21"/>
                    </w:rPr>
                  </w:pPr>
                  <w:r>
                    <w:rPr>
                      <w:rFonts w:ascii="Times New Roman" w:hAnsi="Times New Roman" w:eastAsia="仿宋_GB2312" w:cs="Times New Roman"/>
                      <w:bCs/>
                      <w:szCs w:val="21"/>
                    </w:rPr>
                    <w:t>≤</w:t>
                  </w:r>
                  <w:r>
                    <w:rPr>
                      <w:rFonts w:ascii="Times New Roman" w:hAnsi="Times New Roman" w:cs="Times New Roman"/>
                      <w:bCs/>
                      <w:szCs w:val="21"/>
                    </w:rPr>
                    <w:t>0.</w:t>
                  </w:r>
                  <w:r>
                    <w:rPr>
                      <w:rFonts w:hint="eastAsia" w:ascii="Times New Roman" w:hAnsi="Times New Roman" w:cs="Times New Roman"/>
                      <w:bCs/>
                      <w:szCs w:val="21"/>
                    </w:rPr>
                    <w:t>5</w:t>
                  </w:r>
                </w:p>
              </w:tc>
            </w:tr>
          </w:tbl>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3、声环境质量标准</w:t>
            </w:r>
          </w:p>
          <w:p>
            <w:pPr>
              <w:spacing w:line="480" w:lineRule="exact"/>
              <w:ind w:firstLine="480" w:firstLineChars="200"/>
              <w:rPr>
                <w:rFonts w:ascii="Times New Roman" w:hAnsi="Times New Roman" w:cs="Times New Roman"/>
                <w:b/>
                <w:bCs/>
                <w:sz w:val="24"/>
                <w:szCs w:val="24"/>
              </w:rPr>
            </w:pPr>
            <w:r>
              <w:rPr>
                <w:rFonts w:ascii="Times New Roman" w:hAnsi="Times New Roman" w:cs="Times New Roman"/>
                <w:sz w:val="24"/>
                <w:szCs w:val="24"/>
              </w:rPr>
              <w:t>本项目所在区域属于</w:t>
            </w:r>
            <w:r>
              <w:rPr>
                <w:rFonts w:hint="eastAsia" w:ascii="Times New Roman" w:hAnsi="Times New Roman" w:cs="Times New Roman"/>
                <w:sz w:val="24"/>
                <w:szCs w:val="24"/>
              </w:rPr>
              <w:t>农村地区</w:t>
            </w:r>
            <w:r>
              <w:rPr>
                <w:rFonts w:ascii="Times New Roman" w:hAnsi="Times New Roman" w:cs="Times New Roman"/>
                <w:sz w:val="24"/>
                <w:szCs w:val="24"/>
              </w:rPr>
              <w:t>，按照声环境功能区分类，应执行《声环境质量标准》（GB3096-2008）中</w:t>
            </w:r>
            <w:r>
              <w:rPr>
                <w:rFonts w:hint="eastAsia" w:ascii="Times New Roman" w:hAnsi="Times New Roman" w:cs="Times New Roman"/>
                <w:sz w:val="24"/>
                <w:szCs w:val="24"/>
              </w:rPr>
              <w:t>1</w:t>
            </w:r>
            <w:r>
              <w:rPr>
                <w:rFonts w:ascii="Times New Roman" w:hAnsi="Times New Roman" w:cs="Times New Roman"/>
                <w:sz w:val="24"/>
                <w:szCs w:val="24"/>
              </w:rPr>
              <w:t>类标准。</w:t>
            </w:r>
          </w:p>
          <w:p>
            <w:pPr>
              <w:adjustRightInd w:val="0"/>
              <w:snapToGrid w:val="0"/>
              <w:spacing w:line="520" w:lineRule="exact"/>
              <w:jc w:val="center"/>
              <w:outlineLvl w:val="0"/>
              <w:rPr>
                <w:rFonts w:ascii="Times New Roman" w:hAnsi="Times New Roman" w:eastAsia="宋体" w:cs="Times New Roman"/>
                <w:b/>
                <w:sz w:val="32"/>
                <w:szCs w:val="24"/>
              </w:rPr>
            </w:pPr>
            <w:r>
              <w:rPr>
                <w:rFonts w:ascii="Times New Roman" w:hAnsi="Times New Roman" w:eastAsia="宋体" w:cs="Times New Roman"/>
                <w:b/>
                <w:bCs/>
                <w:color w:val="000000"/>
                <w:sz w:val="24"/>
                <w:szCs w:val="24"/>
              </w:rPr>
              <w:t>表4-3 《声环境质量标准》(GB3096-2008)     单位：dB（A）</w:t>
            </w:r>
          </w:p>
          <w:tbl>
            <w:tblPr>
              <w:tblStyle w:val="40"/>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8"/>
              <w:gridCol w:w="1624"/>
              <w:gridCol w:w="2653"/>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51" w:type="pct"/>
                  <w:tcBorders>
                    <w:tl2br w:val="nil"/>
                    <w:tr2bl w:val="nil"/>
                  </w:tcBorders>
                </w:tcPr>
                <w:p>
                  <w:pPr>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监测点位</w:t>
                  </w:r>
                </w:p>
              </w:tc>
              <w:tc>
                <w:tcPr>
                  <w:tcW w:w="949" w:type="pct"/>
                  <w:tcBorders>
                    <w:tl2br w:val="nil"/>
                    <w:tr2bl w:val="nil"/>
                  </w:tcBorders>
                  <w:vAlign w:val="center"/>
                </w:tcPr>
                <w:p>
                  <w:pPr>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类别</w:t>
                  </w:r>
                </w:p>
              </w:tc>
              <w:tc>
                <w:tcPr>
                  <w:tcW w:w="1550" w:type="pct"/>
                  <w:tcBorders>
                    <w:tl2br w:val="nil"/>
                    <w:tr2bl w:val="nil"/>
                  </w:tcBorders>
                  <w:vAlign w:val="center"/>
                </w:tcPr>
                <w:p>
                  <w:pPr>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昼夜</w:t>
                  </w:r>
                </w:p>
              </w:tc>
              <w:tc>
                <w:tcPr>
                  <w:tcW w:w="1548" w:type="pct"/>
                  <w:tcBorders>
                    <w:tl2br w:val="nil"/>
                    <w:tr2bl w:val="nil"/>
                  </w:tcBorders>
                  <w:vAlign w:val="center"/>
                </w:tcPr>
                <w:p>
                  <w:pPr>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51" w:type="pct"/>
                  <w:tcBorders>
                    <w:tl2br w:val="nil"/>
                    <w:tr2bl w:val="nil"/>
                  </w:tcBorders>
                </w:tcPr>
                <w:p>
                  <w:pPr>
                    <w:jc w:val="center"/>
                    <w:rPr>
                      <w:rFonts w:ascii="Times New Roman" w:hAnsi="Times New Roman" w:eastAsia="宋体" w:cs="Times New Roman"/>
                      <w:bCs/>
                      <w:color w:val="000000"/>
                      <w:szCs w:val="20"/>
                    </w:rPr>
                  </w:pPr>
                  <w:r>
                    <w:rPr>
                      <w:rFonts w:ascii="Times New Roman" w:hAnsi="Times New Roman" w:eastAsia="宋体" w:cs="Times New Roman"/>
                      <w:bCs/>
                      <w:color w:val="000000"/>
                      <w:szCs w:val="20"/>
                    </w:rPr>
                    <w:t>厂界</w:t>
                  </w:r>
                </w:p>
              </w:tc>
              <w:tc>
                <w:tcPr>
                  <w:tcW w:w="949" w:type="pct"/>
                  <w:tcBorders>
                    <w:tl2br w:val="nil"/>
                    <w:tr2bl w:val="nil"/>
                  </w:tcBorders>
                  <w:vAlign w:val="center"/>
                </w:tcPr>
                <w:p>
                  <w:pPr>
                    <w:jc w:val="center"/>
                    <w:rPr>
                      <w:rFonts w:ascii="Times New Roman" w:hAnsi="Times New Roman" w:eastAsia="宋体" w:cs="Times New Roman"/>
                      <w:bCs/>
                      <w:color w:val="000000"/>
                      <w:szCs w:val="20"/>
                    </w:rPr>
                  </w:pPr>
                  <w:r>
                    <w:rPr>
                      <w:rFonts w:hint="eastAsia" w:ascii="Times New Roman" w:hAnsi="Times New Roman" w:eastAsia="宋体" w:cs="Times New Roman"/>
                      <w:bCs/>
                      <w:color w:val="000000"/>
                      <w:szCs w:val="20"/>
                    </w:rPr>
                    <w:t>1</w:t>
                  </w:r>
                  <w:r>
                    <w:rPr>
                      <w:rFonts w:ascii="Times New Roman" w:hAnsi="Times New Roman" w:eastAsia="宋体" w:cs="Times New Roman"/>
                      <w:bCs/>
                      <w:color w:val="000000"/>
                      <w:szCs w:val="20"/>
                    </w:rPr>
                    <w:t>类</w:t>
                  </w:r>
                </w:p>
              </w:tc>
              <w:tc>
                <w:tcPr>
                  <w:tcW w:w="1550" w:type="pct"/>
                  <w:tcBorders>
                    <w:tl2br w:val="nil"/>
                    <w:tr2bl w:val="nil"/>
                  </w:tcBorders>
                  <w:vAlign w:val="center"/>
                </w:tcPr>
                <w:p>
                  <w:pPr>
                    <w:jc w:val="center"/>
                    <w:rPr>
                      <w:rFonts w:ascii="Times New Roman" w:hAnsi="Times New Roman" w:eastAsia="宋体" w:cs="Times New Roman"/>
                      <w:bCs/>
                      <w:color w:val="000000"/>
                      <w:szCs w:val="20"/>
                    </w:rPr>
                  </w:pPr>
                  <w:r>
                    <w:rPr>
                      <w:rFonts w:hint="eastAsia" w:ascii="Times New Roman" w:hAnsi="Times New Roman" w:eastAsia="宋体" w:cs="Times New Roman"/>
                      <w:bCs/>
                      <w:color w:val="000000"/>
                      <w:szCs w:val="20"/>
                    </w:rPr>
                    <w:t>55</w:t>
                  </w:r>
                </w:p>
              </w:tc>
              <w:tc>
                <w:tcPr>
                  <w:tcW w:w="1548" w:type="pct"/>
                  <w:tcBorders>
                    <w:tl2br w:val="nil"/>
                    <w:tr2bl w:val="nil"/>
                  </w:tcBorders>
                  <w:vAlign w:val="center"/>
                </w:tcPr>
                <w:p>
                  <w:pPr>
                    <w:jc w:val="center"/>
                    <w:rPr>
                      <w:rFonts w:ascii="Times New Roman" w:hAnsi="Times New Roman" w:eastAsia="宋体" w:cs="Times New Roman"/>
                      <w:bCs/>
                      <w:color w:val="000000"/>
                      <w:szCs w:val="20"/>
                    </w:rPr>
                  </w:pPr>
                  <w:r>
                    <w:rPr>
                      <w:rFonts w:hint="eastAsia" w:ascii="Times New Roman" w:hAnsi="Times New Roman" w:eastAsia="宋体" w:cs="Times New Roman"/>
                      <w:bCs/>
                      <w:color w:val="000000"/>
                      <w:szCs w:val="20"/>
                    </w:rPr>
                    <w:t>45</w:t>
                  </w:r>
                </w:p>
              </w:tc>
            </w:tr>
          </w:tbl>
          <w:p>
            <w:pPr>
              <w:spacing w:line="500" w:lineRule="exact"/>
              <w:ind w:firstLine="482" w:firstLineChars="200"/>
              <w:rPr>
                <w:rFonts w:ascii="Times New Roman" w:hAnsi="Times New Roman" w:cs="Times New Roman"/>
                <w:b/>
                <w:sz w:val="24"/>
              </w:rPr>
            </w:pPr>
            <w:r>
              <w:rPr>
                <w:rFonts w:ascii="Times New Roman" w:hAnsi="Times New Roman" w:cs="Times New Roman"/>
                <w:b/>
                <w:sz w:val="24"/>
              </w:rPr>
              <w:t>4、土壤环境</w:t>
            </w:r>
          </w:p>
          <w:p>
            <w:pPr>
              <w:spacing w:line="500" w:lineRule="exact"/>
              <w:ind w:firstLine="496" w:firstLineChars="200"/>
              <w:rPr>
                <w:rFonts w:ascii="Times New Roman" w:hAnsi="Times New Roman" w:cs="Times New Roman"/>
                <w:spacing w:val="4"/>
                <w:sz w:val="24"/>
              </w:rPr>
            </w:pPr>
            <w:r>
              <w:rPr>
                <w:rFonts w:ascii="Times New Roman" w:hAnsi="Times New Roman" w:cs="Times New Roman"/>
                <w:spacing w:val="4"/>
                <w:sz w:val="24"/>
              </w:rPr>
              <w:t>厂址土壤环境质量执行《土壤环境质量建设用地土壤污染风险管控标准（试行）》（GB36600-2018）中的筛选值（第二类），标准值见表4-4。</w:t>
            </w:r>
          </w:p>
          <w:p>
            <w:pPr>
              <w:spacing w:before="156" w:beforeLines="50" w:line="500" w:lineRule="exact"/>
              <w:jc w:val="center"/>
              <w:rPr>
                <w:rFonts w:ascii="Times New Roman" w:hAnsi="Times New Roman" w:cs="Times New Roman"/>
                <w:b/>
                <w:bCs/>
                <w:spacing w:val="4"/>
                <w:sz w:val="24"/>
              </w:rPr>
            </w:pPr>
            <w:r>
              <w:rPr>
                <w:rFonts w:ascii="Times New Roman" w:hAnsi="Times New Roman" w:cs="Times New Roman"/>
                <w:b/>
                <w:bCs/>
                <w:spacing w:val="4"/>
                <w:sz w:val="24"/>
              </w:rPr>
              <w:t>表4-4建设用地土壤污染风险管控标准（基本项目）  单位：mg/kg</w:t>
            </w:r>
          </w:p>
          <w:tbl>
            <w:tblPr>
              <w:tblStyle w:val="41"/>
              <w:tblW w:w="85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19"/>
              <w:gridCol w:w="1963"/>
              <w:gridCol w:w="1606"/>
              <w:gridCol w:w="742"/>
              <w:gridCol w:w="2139"/>
              <w:gridCol w:w="1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序号</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污染项目</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筛选值</w:t>
                  </w:r>
                </w:p>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（第二类用地）</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序号</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污染项目</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筛选值</w:t>
                  </w:r>
                </w:p>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（第二类用地）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60</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25</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氯乙烯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镉</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65</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26</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铬（六价）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5.7</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27</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氯苯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铜</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18000</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28</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1，2-二氯苯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铅</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800</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29</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1，4-二氯苯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6</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汞</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38</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30</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乙苯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7</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镍</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900</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31</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苯乙烯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8</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四氯化碳</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2.8</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32</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甲苯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9</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氯仿</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0.9</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33</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间二甲苯+对二甲苯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10</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氯甲烷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37</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34</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邻二甲苯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11</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1，1-二氯乙烷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9</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35</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硝基苯</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12</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1，2-二氯乙烷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36</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苯胺</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13</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1，1-二氯乙烯</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66</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37</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2-氯酚</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14</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顺-1，2-二氯乙烯</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596</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38</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苯并〔a〕蒽</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15</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反-1，2-二氯乙烯</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54</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39</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苯并</w:t>
                  </w:r>
                  <w:r>
                    <w:rPr>
                      <w:rFonts w:ascii="Times New Roman" w:hAnsi="Times New Roman" w:cs="Times New Roman"/>
                      <w:kern w:val="0"/>
                      <w:szCs w:val="21"/>
                      <w:vertAlign w:val="subscript"/>
                    </w:rPr>
                    <w:t>〔a〕</w:t>
                  </w:r>
                  <w:r>
                    <w:rPr>
                      <w:rFonts w:ascii="Times New Roman" w:hAnsi="Times New Roman" w:cs="Times New Roman"/>
                      <w:kern w:val="0"/>
                      <w:szCs w:val="21"/>
                    </w:rPr>
                    <w:t>芘</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16</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二氯甲烷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616</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40</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苯并</w:t>
                  </w:r>
                  <w:r>
                    <w:rPr>
                      <w:rFonts w:ascii="Times New Roman" w:hAnsi="Times New Roman" w:cs="Times New Roman"/>
                      <w:kern w:val="0"/>
                      <w:szCs w:val="21"/>
                      <w:vertAlign w:val="subscript"/>
                    </w:rPr>
                    <w:t>〔a〕</w:t>
                  </w:r>
                  <w:r>
                    <w:rPr>
                      <w:rFonts w:ascii="Times New Roman" w:hAnsi="Times New Roman" w:cs="Times New Roman"/>
                      <w:kern w:val="0"/>
                      <w:szCs w:val="21"/>
                    </w:rPr>
                    <w:t>荧蒽</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17</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1，2-二氯丙烷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41</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苯并</w:t>
                  </w:r>
                  <w:r>
                    <w:rPr>
                      <w:rFonts w:ascii="Times New Roman" w:hAnsi="Times New Roman" w:cs="Times New Roman"/>
                      <w:kern w:val="0"/>
                      <w:szCs w:val="21"/>
                      <w:vertAlign w:val="subscript"/>
                    </w:rPr>
                    <w:t>〔k〕</w:t>
                  </w:r>
                  <w:r>
                    <w:rPr>
                      <w:rFonts w:ascii="Times New Roman" w:hAnsi="Times New Roman" w:cs="Times New Roman"/>
                      <w:kern w:val="0"/>
                      <w:szCs w:val="21"/>
                    </w:rPr>
                    <w:t>荧蒽</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18</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spacing w:val="-20"/>
                      <w:kern w:val="0"/>
                      <w:szCs w:val="21"/>
                    </w:rPr>
                    <w:t>1，1，1，2-四氯乙烷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10</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42</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䓛</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19</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spacing w:val="-20"/>
                      <w:kern w:val="0"/>
                      <w:szCs w:val="21"/>
                    </w:rPr>
                    <w:t>1，1，2，2-四氯乙烷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6.8</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43</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二苯并</w:t>
                  </w:r>
                  <w:r>
                    <w:rPr>
                      <w:rFonts w:ascii="Times New Roman" w:hAnsi="Times New Roman" w:cs="Times New Roman"/>
                      <w:kern w:val="0"/>
                      <w:szCs w:val="21"/>
                      <w:vertAlign w:val="subscript"/>
                    </w:rPr>
                    <w:t>〔a，h〕</w:t>
                  </w:r>
                  <w:r>
                    <w:rPr>
                      <w:rFonts w:ascii="Times New Roman" w:hAnsi="Times New Roman" w:cs="Times New Roman"/>
                      <w:kern w:val="0"/>
                      <w:szCs w:val="21"/>
                    </w:rPr>
                    <w:t>蒽</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20</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四氯乙烯</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53</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44</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茚并</w:t>
                  </w:r>
                  <w:r>
                    <w:rPr>
                      <w:rFonts w:ascii="Times New Roman" w:hAnsi="Times New Roman" w:cs="Times New Roman"/>
                      <w:kern w:val="0"/>
                      <w:szCs w:val="21"/>
                      <w:vertAlign w:val="subscript"/>
                    </w:rPr>
                    <w:t>〔1，2，3，-cd〕</w:t>
                  </w:r>
                  <w:r>
                    <w:rPr>
                      <w:rFonts w:ascii="Times New Roman" w:hAnsi="Times New Roman" w:cs="Times New Roman"/>
                      <w:kern w:val="0"/>
                      <w:szCs w:val="21"/>
                    </w:rPr>
                    <w:t>芘</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21</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1，1，1-三氯乙烷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840</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45</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萘</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22</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1，1，2-三氯乙烷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2.8</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46</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23</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三氯乙烯</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2.8</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47</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1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24</w:t>
                  </w:r>
                </w:p>
              </w:tc>
              <w:tc>
                <w:tcPr>
                  <w:tcW w:w="1963" w:type="dxa"/>
                  <w:tcBorders>
                    <w:tl2br w:val="nil"/>
                    <w:tr2bl w:val="nil"/>
                  </w:tcBorders>
                  <w:vAlign w:val="center"/>
                </w:tcPr>
                <w:p>
                  <w:pPr>
                    <w:adjustRightInd w:val="0"/>
                    <w:snapToGrid w:val="0"/>
                    <w:spacing w:line="360" w:lineRule="exact"/>
                    <w:jc w:val="center"/>
                    <w:rPr>
                      <w:rFonts w:ascii="Times New Roman" w:hAnsi="Times New Roman" w:cs="Times New Roman"/>
                      <w:szCs w:val="21"/>
                    </w:rPr>
                  </w:pPr>
                  <w:r>
                    <w:rPr>
                      <w:rFonts w:ascii="Times New Roman" w:hAnsi="Times New Roman" w:cs="Times New Roman"/>
                      <w:kern w:val="0"/>
                      <w:szCs w:val="21"/>
                    </w:rPr>
                    <w:t>1，2，3-三氯丙烷</w:t>
                  </w:r>
                </w:p>
              </w:tc>
              <w:tc>
                <w:tcPr>
                  <w:tcW w:w="160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0.5</w:t>
                  </w:r>
                </w:p>
              </w:tc>
              <w:tc>
                <w:tcPr>
                  <w:tcW w:w="742"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w:t>
                  </w:r>
                </w:p>
              </w:tc>
              <w:tc>
                <w:tcPr>
                  <w:tcW w:w="2139"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w:t>
                  </w:r>
                </w:p>
              </w:tc>
              <w:tc>
                <w:tcPr>
                  <w:tcW w:w="1496" w:type="dxa"/>
                  <w:tcBorders>
                    <w:tl2br w:val="nil"/>
                    <w:tr2bl w:val="nil"/>
                  </w:tcBorders>
                  <w:vAlign w:val="center"/>
                </w:tcPr>
                <w:p>
                  <w:pPr>
                    <w:adjustRightInd w:val="0"/>
                    <w:snapToGrid w:val="0"/>
                    <w:spacing w:line="360" w:lineRule="exact"/>
                    <w:jc w:val="center"/>
                    <w:rPr>
                      <w:rFonts w:ascii="Times New Roman" w:hAnsi="Times New Roman" w:cs="Times New Roman"/>
                      <w:kern w:val="0"/>
                      <w:szCs w:val="21"/>
                    </w:rPr>
                  </w:pPr>
                  <w:r>
                    <w:rPr>
                      <w:rFonts w:ascii="Times New Roman" w:hAnsi="Times New Roman" w:cs="Times New Roman"/>
                      <w:kern w:val="0"/>
                      <w:szCs w:val="21"/>
                    </w:rPr>
                    <w:t>/</w:t>
                  </w:r>
                </w:p>
              </w:tc>
            </w:tr>
          </w:tbl>
          <w:p>
            <w:pPr>
              <w:pStyle w:val="2"/>
              <w:rPr>
                <w:rFonts w:ascii="Times New Roman" w:cs="Times New Roman"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96" w:type="dxa"/>
            <w:tcBorders>
              <w:top w:val="single" w:color="auto" w:sz="6" w:space="0"/>
              <w:left w:val="single" w:color="auto" w:sz="12" w:space="0"/>
              <w:bottom w:val="single" w:color="auto" w:sz="6" w:space="0"/>
              <w:right w:val="single" w:color="auto" w:sz="6" w:space="0"/>
            </w:tcBorders>
            <w:vAlign w:val="center"/>
          </w:tcPr>
          <w:p>
            <w:pPr>
              <w:spacing w:line="48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污</w:t>
            </w:r>
          </w:p>
          <w:p>
            <w:pPr>
              <w:spacing w:line="48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染</w:t>
            </w:r>
          </w:p>
          <w:p>
            <w:pPr>
              <w:spacing w:line="48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物</w:t>
            </w:r>
          </w:p>
          <w:p>
            <w:pPr>
              <w:spacing w:line="48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排</w:t>
            </w:r>
          </w:p>
          <w:p>
            <w:pPr>
              <w:spacing w:line="48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放</w:t>
            </w:r>
          </w:p>
          <w:p>
            <w:pPr>
              <w:spacing w:line="48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标</w:t>
            </w:r>
          </w:p>
          <w:p>
            <w:pPr>
              <w:spacing w:line="48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准</w:t>
            </w:r>
          </w:p>
        </w:tc>
        <w:tc>
          <w:tcPr>
            <w:tcW w:w="8684" w:type="dxa"/>
            <w:tcBorders>
              <w:top w:val="single" w:color="auto" w:sz="6" w:space="0"/>
              <w:left w:val="single" w:color="auto" w:sz="6" w:space="0"/>
              <w:bottom w:val="single" w:color="auto" w:sz="6" w:space="0"/>
              <w:right w:val="single" w:color="auto" w:sz="12" w:space="0"/>
            </w:tcBorders>
          </w:tcPr>
          <w:p>
            <w:pPr>
              <w:spacing w:line="500" w:lineRule="exact"/>
              <w:rPr>
                <w:rFonts w:ascii="Times New Roman" w:hAnsi="Times New Roman" w:cs="Times New Roman"/>
                <w:b/>
                <w:sz w:val="24"/>
                <w:szCs w:val="24"/>
              </w:rPr>
            </w:pPr>
            <w:r>
              <w:rPr>
                <w:rFonts w:ascii="Times New Roman" w:hAnsi="Times New Roman" w:cs="Times New Roman"/>
                <w:b/>
                <w:sz w:val="24"/>
                <w:szCs w:val="24"/>
              </w:rPr>
              <w:t>1、 废气</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（1）本项目施工期产生的废气执行《大气污染物综合排放标准》（GB16297-1996），见下表。</w:t>
            </w:r>
          </w:p>
          <w:p>
            <w:pPr>
              <w:spacing w:line="500" w:lineRule="exact"/>
              <w:jc w:val="center"/>
              <w:rPr>
                <w:rFonts w:ascii="Times New Roman" w:hAnsi="Times New Roman" w:cs="Times New Roman"/>
                <w:b/>
                <w:sz w:val="24"/>
                <w:szCs w:val="24"/>
              </w:rPr>
            </w:pPr>
            <w:r>
              <w:rPr>
                <w:rFonts w:ascii="Times New Roman" w:hAnsi="Times New Roman" w:cs="Times New Roman"/>
                <w:b/>
                <w:sz w:val="24"/>
                <w:szCs w:val="24"/>
              </w:rPr>
              <w:t>表4-</w:t>
            </w:r>
            <w:r>
              <w:rPr>
                <w:rFonts w:hint="eastAsia" w:ascii="Times New Roman" w:hAnsi="Times New Roman" w:cs="Times New Roman"/>
                <w:b/>
                <w:sz w:val="24"/>
                <w:szCs w:val="24"/>
              </w:rPr>
              <w:t>5</w:t>
            </w:r>
            <w:r>
              <w:rPr>
                <w:rFonts w:ascii="Times New Roman" w:hAnsi="Times New Roman" w:cs="Times New Roman"/>
                <w:b/>
                <w:sz w:val="24"/>
                <w:szCs w:val="24"/>
              </w:rPr>
              <w:t>大气污染物综合排放标准</w:t>
            </w:r>
          </w:p>
          <w:tbl>
            <w:tblPr>
              <w:tblStyle w:val="40"/>
              <w:tblW w:w="845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323"/>
              <w:gridCol w:w="2662"/>
              <w:gridCol w:w="2864"/>
              <w:gridCol w:w="16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323" w:type="dxa"/>
                  <w:vMerge w:val="restart"/>
                  <w:tcBorders>
                    <w:tl2br w:val="nil"/>
                    <w:tr2bl w:val="nil"/>
                  </w:tcBorders>
                  <w:vAlign w:val="center"/>
                </w:tcPr>
                <w:p>
                  <w:pPr>
                    <w:jc w:val="center"/>
                    <w:rPr>
                      <w:rFonts w:ascii="Times New Roman" w:hAnsi="Times New Roman" w:cs="Times New Roman"/>
                    </w:rPr>
                  </w:pPr>
                  <w:r>
                    <w:rPr>
                      <w:rFonts w:ascii="Times New Roman" w:hAnsi="Times New Roman" w:cs="Times New Roman"/>
                    </w:rPr>
                    <w:t>污染源</w:t>
                  </w:r>
                </w:p>
              </w:tc>
              <w:tc>
                <w:tcPr>
                  <w:tcW w:w="2662" w:type="dxa"/>
                  <w:vMerge w:val="restart"/>
                  <w:tcBorders>
                    <w:tl2br w:val="nil"/>
                    <w:tr2bl w:val="nil"/>
                  </w:tcBorders>
                  <w:vAlign w:val="center"/>
                </w:tcPr>
                <w:p>
                  <w:pPr>
                    <w:jc w:val="center"/>
                    <w:rPr>
                      <w:rFonts w:ascii="Times New Roman" w:hAnsi="Times New Roman" w:cs="Times New Roman"/>
                    </w:rPr>
                  </w:pPr>
                  <w:r>
                    <w:rPr>
                      <w:rFonts w:ascii="Times New Roman" w:hAnsi="Times New Roman" w:cs="Times New Roman"/>
                    </w:rPr>
                    <w:t>最高允许排放浓度</w:t>
                  </w:r>
                </w:p>
              </w:tc>
              <w:tc>
                <w:tcPr>
                  <w:tcW w:w="4469" w:type="dxa"/>
                  <w:gridSpan w:val="2"/>
                  <w:tcBorders>
                    <w:tl2br w:val="nil"/>
                    <w:tr2bl w:val="nil"/>
                  </w:tcBorders>
                  <w:vAlign w:val="center"/>
                </w:tcPr>
                <w:p>
                  <w:pPr>
                    <w:jc w:val="center"/>
                    <w:rPr>
                      <w:rFonts w:ascii="Times New Roman" w:hAnsi="Times New Roman" w:cs="Times New Roman"/>
                    </w:rPr>
                  </w:pPr>
                  <w:r>
                    <w:rPr>
                      <w:rFonts w:ascii="Times New Roman" w:hAnsi="Times New Roman" w:cs="Times New Roman"/>
                    </w:rPr>
                    <w:t>无组织排放监控浓度限值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323" w:type="dxa"/>
                  <w:vMerge w:val="continue"/>
                  <w:tcBorders>
                    <w:tl2br w:val="nil"/>
                    <w:tr2bl w:val="nil"/>
                  </w:tcBorders>
                  <w:vAlign w:val="center"/>
                </w:tcPr>
                <w:p>
                  <w:pPr>
                    <w:ind w:firstLine="420"/>
                    <w:jc w:val="center"/>
                    <w:rPr>
                      <w:rFonts w:ascii="Times New Roman" w:hAnsi="Times New Roman" w:cs="Times New Roman"/>
                    </w:rPr>
                  </w:pPr>
                </w:p>
              </w:tc>
              <w:tc>
                <w:tcPr>
                  <w:tcW w:w="2662" w:type="dxa"/>
                  <w:vMerge w:val="continue"/>
                  <w:tcBorders>
                    <w:tl2br w:val="nil"/>
                    <w:tr2bl w:val="nil"/>
                  </w:tcBorders>
                  <w:vAlign w:val="center"/>
                </w:tcPr>
                <w:p>
                  <w:pPr>
                    <w:ind w:firstLine="420"/>
                    <w:jc w:val="center"/>
                    <w:rPr>
                      <w:rFonts w:ascii="Times New Roman" w:hAnsi="Times New Roman" w:cs="Times New Roman"/>
                    </w:rPr>
                  </w:pPr>
                </w:p>
              </w:tc>
              <w:tc>
                <w:tcPr>
                  <w:tcW w:w="2864"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监控点</w:t>
                  </w:r>
                </w:p>
              </w:tc>
              <w:tc>
                <w:tcPr>
                  <w:tcW w:w="1605"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浓度（mg/m</w:t>
                  </w:r>
                  <w:r>
                    <w:rPr>
                      <w:rFonts w:ascii="Times New Roman" w:hAnsi="Times New Roman" w:cs="Times New Roman"/>
                      <w:vertAlign w:val="superscript"/>
                    </w:rPr>
                    <w:t>3</w:t>
                  </w:r>
                  <w:r>
                    <w:rPr>
                      <w:rFonts w:ascii="Times New Roman" w:hAnsi="Times New Roman" w:cs="Times New Roma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323"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颗粒物</w:t>
                  </w:r>
                </w:p>
              </w:tc>
              <w:tc>
                <w:tcPr>
                  <w:tcW w:w="2662" w:type="dxa"/>
                  <w:tcBorders>
                    <w:tl2br w:val="nil"/>
                    <w:tr2bl w:val="nil"/>
                  </w:tcBorders>
                  <w:vAlign w:val="center"/>
                </w:tcPr>
                <w:p>
                  <w:pPr>
                    <w:ind w:firstLine="420"/>
                    <w:jc w:val="center"/>
                    <w:rPr>
                      <w:rFonts w:ascii="Times New Roman" w:hAnsi="Times New Roman" w:cs="Times New Roman"/>
                    </w:rPr>
                  </w:pPr>
                  <w:r>
                    <w:rPr>
                      <w:rFonts w:ascii="Times New Roman" w:hAnsi="Times New Roman" w:cs="Times New Roman"/>
                    </w:rPr>
                    <w:t>120（mg/m</w:t>
                  </w:r>
                  <w:r>
                    <w:rPr>
                      <w:rFonts w:ascii="Times New Roman" w:hAnsi="Times New Roman" w:cs="Times New Roman"/>
                      <w:vertAlign w:val="superscript"/>
                    </w:rPr>
                    <w:t>3</w:t>
                  </w:r>
                  <w:r>
                    <w:rPr>
                      <w:rFonts w:ascii="Times New Roman" w:hAnsi="Times New Roman" w:cs="Times New Roman"/>
                    </w:rPr>
                    <w:t>）</w:t>
                  </w:r>
                </w:p>
              </w:tc>
              <w:tc>
                <w:tcPr>
                  <w:tcW w:w="2864"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周界外浓度</w:t>
                  </w:r>
                  <w:r>
                    <w:rPr>
                      <w:rFonts w:ascii="Times New Roman" w:hAnsi="Times New Roman" w:cs="Times New Roman"/>
                    </w:rPr>
                    <w:cr/>
                  </w:r>
                  <w:r>
                    <w:rPr>
                      <w:rFonts w:ascii="Times New Roman" w:hAnsi="Times New Roman" w:cs="Times New Roman"/>
                    </w:rPr>
                    <w:t>高点</w:t>
                  </w:r>
                </w:p>
              </w:tc>
              <w:tc>
                <w:tcPr>
                  <w:tcW w:w="1605"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1.0</w:t>
                  </w:r>
                </w:p>
              </w:tc>
            </w:tr>
          </w:tbl>
          <w:p>
            <w:pPr>
              <w:spacing w:before="78" w:beforeLines="25" w:line="480" w:lineRule="exact"/>
              <w:ind w:firstLine="480" w:firstLineChars="200"/>
              <w:rPr>
                <w:sz w:val="24"/>
              </w:rPr>
            </w:pPr>
            <w:r>
              <w:rPr>
                <w:rFonts w:ascii="Times New Roman" w:hAnsi="Times New Roman" w:cs="Times New Roman"/>
                <w:sz w:val="24"/>
                <w:szCs w:val="24"/>
              </w:rPr>
              <w:t>（2）运营期：</w:t>
            </w:r>
            <w:r>
              <w:rPr>
                <w:rFonts w:hint="eastAsia"/>
                <w:sz w:val="24"/>
              </w:rPr>
              <w:t>本项目</w:t>
            </w:r>
            <w:r>
              <w:rPr>
                <w:rFonts w:hint="eastAsia"/>
                <w:sz w:val="24"/>
                <w:lang w:eastAsia="zh-CN"/>
              </w:rPr>
              <w:t>进料、</w:t>
            </w:r>
            <w:r>
              <w:rPr>
                <w:rFonts w:hint="eastAsia"/>
                <w:sz w:val="24"/>
              </w:rPr>
              <w:t>破碎、筛分工段产生</w:t>
            </w:r>
            <w:r>
              <w:rPr>
                <w:sz w:val="24"/>
              </w:rPr>
              <w:t>的粉尘</w:t>
            </w:r>
            <w:r>
              <w:rPr>
                <w:rFonts w:hint="eastAsia"/>
                <w:sz w:val="24"/>
              </w:rPr>
              <w:t>及堆场扬尘、皮带运输产生</w:t>
            </w:r>
            <w:r>
              <w:rPr>
                <w:sz w:val="24"/>
              </w:rPr>
              <w:t>的粉尘排放</w:t>
            </w:r>
            <w:r>
              <w:rPr>
                <w:rFonts w:hint="eastAsia"/>
                <w:sz w:val="24"/>
              </w:rPr>
              <w:t>执行《大气污染物综合排放标准》（GB16297-1996）表2中颗粒物排放标准和无组织排放监控浓度限值。</w:t>
            </w:r>
          </w:p>
          <w:p>
            <w:pPr>
              <w:spacing w:before="78" w:beforeLines="25" w:line="480" w:lineRule="exact"/>
              <w:ind w:firstLine="482" w:firstLineChars="200"/>
              <w:jc w:val="center"/>
              <w:rPr>
                <w:sz w:val="24"/>
                <w:szCs w:val="24"/>
              </w:rPr>
            </w:pPr>
            <w:r>
              <w:rPr>
                <w:rFonts w:ascii="Times New Roman" w:hAnsi="Times New Roman" w:cs="Times New Roman"/>
                <w:b/>
                <w:sz w:val="24"/>
                <w:szCs w:val="24"/>
              </w:rPr>
              <w:t>表4-</w:t>
            </w:r>
            <w:r>
              <w:rPr>
                <w:rFonts w:hint="eastAsia" w:ascii="Times New Roman" w:hAnsi="Times New Roman" w:cs="Times New Roman"/>
                <w:b/>
                <w:sz w:val="24"/>
                <w:szCs w:val="24"/>
              </w:rPr>
              <w:t>6</w:t>
            </w:r>
            <w:r>
              <w:rPr>
                <w:rFonts w:ascii="Times New Roman" w:hAnsi="Times New Roman" w:cs="Times New Roman"/>
                <w:b/>
                <w:sz w:val="24"/>
                <w:szCs w:val="24"/>
              </w:rPr>
              <w:t>大气污染物综合排放标准</w:t>
            </w:r>
          </w:p>
          <w:tbl>
            <w:tblPr>
              <w:tblStyle w:val="4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39"/>
              <w:gridCol w:w="1468"/>
              <w:gridCol w:w="1473"/>
              <w:gridCol w:w="1398"/>
              <w:gridCol w:w="1249"/>
              <w:gridCol w:w="24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538" w:type="dxa"/>
                  <w:vMerge w:val="restart"/>
                  <w:tcBorders>
                    <w:tl2br w:val="nil"/>
                    <w:tr2bl w:val="nil"/>
                  </w:tcBorders>
                  <w:vAlign w:val="center"/>
                </w:tcPr>
                <w:p>
                  <w:pPr>
                    <w:jc w:val="center"/>
                    <w:rPr>
                      <w:rFonts w:ascii="Times New Roman" w:hAnsi="Times New Roman" w:cs="Times New Roman"/>
                    </w:rPr>
                  </w:pPr>
                  <w:r>
                    <w:rPr>
                      <w:rFonts w:ascii="Times New Roman" w:hAnsi="Times New Roman" w:cs="Times New Roman"/>
                    </w:rPr>
                    <w:t>污染源</w:t>
                  </w:r>
                </w:p>
              </w:tc>
              <w:tc>
                <w:tcPr>
                  <w:tcW w:w="1465" w:type="dxa"/>
                  <w:vMerge w:val="restart"/>
                  <w:tcBorders>
                    <w:tl2br w:val="nil"/>
                    <w:tr2bl w:val="nil"/>
                  </w:tcBorders>
                  <w:vAlign w:val="center"/>
                </w:tcPr>
                <w:p>
                  <w:pPr>
                    <w:jc w:val="center"/>
                    <w:rPr>
                      <w:rFonts w:ascii="Times New Roman" w:hAnsi="Times New Roman" w:cs="Times New Roman"/>
                    </w:rPr>
                  </w:pPr>
                  <w:r>
                    <w:rPr>
                      <w:rFonts w:ascii="Times New Roman" w:hAnsi="Times New Roman" w:cs="Times New Roman"/>
                    </w:rPr>
                    <w:t>最高允许</w:t>
                  </w:r>
                </w:p>
                <w:p>
                  <w:pPr>
                    <w:jc w:val="center"/>
                    <w:rPr>
                      <w:rFonts w:ascii="Times New Roman" w:hAnsi="Times New Roman" w:cs="Times New Roman"/>
                    </w:rPr>
                  </w:pPr>
                  <w:r>
                    <w:rPr>
                      <w:rFonts w:ascii="Times New Roman" w:hAnsi="Times New Roman" w:cs="Times New Roman"/>
                    </w:rPr>
                    <w:t>排放浓度</w:t>
                  </w:r>
                </w:p>
              </w:tc>
              <w:tc>
                <w:tcPr>
                  <w:tcW w:w="2865" w:type="dxa"/>
                  <w:gridSpan w:val="2"/>
                  <w:tcBorders>
                    <w:tl2br w:val="nil"/>
                    <w:tr2bl w:val="nil"/>
                  </w:tcBorders>
                  <w:vAlign w:val="center"/>
                </w:tcPr>
                <w:p>
                  <w:pPr>
                    <w:jc w:val="center"/>
                    <w:rPr>
                      <w:rFonts w:ascii="Times New Roman" w:hAnsi="Times New Roman" w:cs="Times New Roman"/>
                    </w:rPr>
                  </w:pPr>
                  <w:r>
                    <w:rPr>
                      <w:rFonts w:ascii="Times New Roman" w:hAnsi="Times New Roman" w:cs="Times New Roman"/>
                    </w:rPr>
                    <w:t>最高允许排放速率</w:t>
                  </w:r>
                </w:p>
              </w:tc>
              <w:tc>
                <w:tcPr>
                  <w:tcW w:w="3671" w:type="dxa"/>
                  <w:gridSpan w:val="2"/>
                  <w:tcBorders>
                    <w:tl2br w:val="nil"/>
                    <w:tr2bl w:val="nil"/>
                  </w:tcBorders>
                  <w:vAlign w:val="center"/>
                </w:tcPr>
                <w:p>
                  <w:pPr>
                    <w:jc w:val="center"/>
                    <w:rPr>
                      <w:rFonts w:ascii="Times New Roman" w:hAnsi="Times New Roman" w:cs="Times New Roman"/>
                    </w:rPr>
                  </w:pPr>
                  <w:r>
                    <w:rPr>
                      <w:rFonts w:ascii="Times New Roman" w:hAnsi="Times New Roman" w:cs="Times New Roman"/>
                    </w:rPr>
                    <w:t>无组织排放监控浓度限值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538" w:type="dxa"/>
                  <w:vMerge w:val="continue"/>
                  <w:tcBorders>
                    <w:tl2br w:val="nil"/>
                    <w:tr2bl w:val="nil"/>
                  </w:tcBorders>
                  <w:vAlign w:val="center"/>
                </w:tcPr>
                <w:p>
                  <w:pPr>
                    <w:jc w:val="left"/>
                    <w:rPr>
                      <w:rFonts w:ascii="Times New Roman" w:hAnsi="Times New Roman" w:cs="Times New Roman"/>
                    </w:rPr>
                  </w:pPr>
                </w:p>
              </w:tc>
              <w:tc>
                <w:tcPr>
                  <w:tcW w:w="1465" w:type="dxa"/>
                  <w:vMerge w:val="continue"/>
                  <w:tcBorders>
                    <w:tl2br w:val="nil"/>
                    <w:tr2bl w:val="nil"/>
                  </w:tcBorders>
                  <w:vAlign w:val="center"/>
                </w:tcPr>
                <w:p>
                  <w:pPr>
                    <w:jc w:val="left"/>
                    <w:rPr>
                      <w:rFonts w:ascii="Times New Roman" w:hAnsi="Times New Roman" w:cs="Times New Roman"/>
                    </w:rPr>
                  </w:pPr>
                </w:p>
              </w:tc>
              <w:tc>
                <w:tcPr>
                  <w:tcW w:w="1470"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排气筒高度</w:t>
                  </w:r>
                </w:p>
              </w:tc>
              <w:tc>
                <w:tcPr>
                  <w:tcW w:w="1395"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二级</w:t>
                  </w:r>
                </w:p>
              </w:tc>
              <w:tc>
                <w:tcPr>
                  <w:tcW w:w="124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监控点</w:t>
                  </w:r>
                </w:p>
              </w:tc>
              <w:tc>
                <w:tcPr>
                  <w:tcW w:w="2425"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浓度（mg/m</w:t>
                  </w:r>
                  <w:r>
                    <w:rPr>
                      <w:rFonts w:ascii="Times New Roman" w:hAnsi="Times New Roman" w:cs="Times New Roman"/>
                      <w:vertAlign w:val="superscript"/>
                    </w:rPr>
                    <w:t>3</w:t>
                  </w:r>
                  <w:r>
                    <w:rPr>
                      <w:rFonts w:ascii="Times New Roman" w:hAnsi="Times New Roman" w:cs="Times New Roma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538"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颗粒物</w:t>
                  </w:r>
                </w:p>
              </w:tc>
              <w:tc>
                <w:tcPr>
                  <w:tcW w:w="1465"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120（mg/m</w:t>
                  </w:r>
                  <w:r>
                    <w:rPr>
                      <w:rFonts w:ascii="Times New Roman" w:hAnsi="Times New Roman" w:cs="Times New Roman"/>
                      <w:vertAlign w:val="superscript"/>
                    </w:rPr>
                    <w:t>3</w:t>
                  </w:r>
                  <w:r>
                    <w:rPr>
                      <w:rFonts w:ascii="Times New Roman" w:hAnsi="Times New Roman" w:cs="Times New Roman"/>
                    </w:rPr>
                    <w:t>）</w:t>
                  </w:r>
                </w:p>
              </w:tc>
              <w:tc>
                <w:tcPr>
                  <w:tcW w:w="1470"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15m</w:t>
                  </w:r>
                </w:p>
              </w:tc>
              <w:tc>
                <w:tcPr>
                  <w:tcW w:w="1395"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3.5kg/h</w:t>
                  </w:r>
                </w:p>
              </w:tc>
              <w:tc>
                <w:tcPr>
                  <w:tcW w:w="1246"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周界外浓度最高点</w:t>
                  </w:r>
                </w:p>
              </w:tc>
              <w:tc>
                <w:tcPr>
                  <w:tcW w:w="2425" w:type="dxa"/>
                  <w:tcBorders>
                    <w:tl2br w:val="nil"/>
                    <w:tr2bl w:val="nil"/>
                  </w:tcBorders>
                  <w:vAlign w:val="center"/>
                </w:tcPr>
                <w:p>
                  <w:pPr>
                    <w:jc w:val="center"/>
                    <w:rPr>
                      <w:rFonts w:ascii="Times New Roman" w:hAnsi="Times New Roman" w:cs="Times New Roman"/>
                    </w:rPr>
                  </w:pPr>
                  <w:r>
                    <w:rPr>
                      <w:rFonts w:ascii="Times New Roman" w:hAnsi="Times New Roman" w:cs="Times New Roman"/>
                    </w:rPr>
                    <w:t>1.0</w:t>
                  </w:r>
                </w:p>
              </w:tc>
            </w:tr>
          </w:tbl>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2、 噪声</w:t>
            </w:r>
          </w:p>
          <w:p>
            <w:pPr>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本项目施工期噪声执行《建筑施工场界环境噪声排放标准》(GB12523-2011)中标准；厂界四周执行《工业企业厂界环境噪声排放标准》（GB12348-2008）中2类标准要求。</w:t>
            </w:r>
          </w:p>
          <w:p>
            <w:pPr>
              <w:spacing w:line="500" w:lineRule="exact"/>
              <w:jc w:val="center"/>
              <w:rPr>
                <w:rFonts w:ascii="Times New Roman" w:hAnsi="Times New Roman" w:cs="Times New Roman"/>
                <w:b/>
                <w:bCs/>
                <w:sz w:val="24"/>
                <w:szCs w:val="24"/>
              </w:rPr>
            </w:pPr>
            <w:r>
              <w:rPr>
                <w:rFonts w:ascii="Times New Roman" w:hAnsi="Times New Roman" w:cs="Times New Roman"/>
                <w:b/>
                <w:bCs/>
                <w:sz w:val="24"/>
                <w:szCs w:val="24"/>
              </w:rPr>
              <w:t>表4-</w:t>
            </w:r>
            <w:r>
              <w:rPr>
                <w:rFonts w:hint="eastAsia" w:ascii="Times New Roman" w:hAnsi="Times New Roman" w:cs="Times New Roman"/>
                <w:b/>
                <w:bCs/>
                <w:sz w:val="24"/>
                <w:szCs w:val="24"/>
              </w:rPr>
              <w:t>7</w:t>
            </w:r>
            <w:r>
              <w:rPr>
                <w:rFonts w:ascii="Times New Roman" w:hAnsi="Times New Roman" w:cs="Times New Roman"/>
                <w:b/>
                <w:bCs/>
                <w:sz w:val="24"/>
                <w:szCs w:val="24"/>
              </w:rPr>
              <w:t>建筑施工场界环境噪声排放限值  单位：dB (A)</w:t>
            </w:r>
          </w:p>
          <w:tbl>
            <w:tblPr>
              <w:tblStyle w:val="40"/>
              <w:tblW w:w="8454"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4323"/>
              <w:gridCol w:w="413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461" w:hRule="exact"/>
                <w:jc w:val="center"/>
              </w:trPr>
              <w:tc>
                <w:tcPr>
                  <w:tcW w:w="4323" w:type="dxa"/>
                  <w:tcBorders>
                    <w:tl2br w:val="nil"/>
                    <w:tr2bl w:val="nil"/>
                  </w:tcBorders>
                  <w:vAlign w:val="center"/>
                </w:tcPr>
                <w:p>
                  <w:pPr>
                    <w:jc w:val="center"/>
                    <w:rPr>
                      <w:rFonts w:ascii="Times New Roman" w:hAnsi="Times New Roman" w:cs="Times New Roman"/>
                      <w:b/>
                      <w:bCs/>
                      <w:szCs w:val="21"/>
                    </w:rPr>
                  </w:pPr>
                  <w:r>
                    <w:rPr>
                      <w:rFonts w:ascii="Times New Roman" w:hAnsi="Times New Roman" w:cs="Times New Roman"/>
                      <w:b/>
                      <w:bCs/>
                      <w:szCs w:val="21"/>
                    </w:rPr>
                    <w:t>昼间</w:t>
                  </w:r>
                </w:p>
              </w:tc>
              <w:tc>
                <w:tcPr>
                  <w:tcW w:w="4131" w:type="dxa"/>
                  <w:tcBorders>
                    <w:tl2br w:val="nil"/>
                    <w:tr2bl w:val="nil"/>
                  </w:tcBorders>
                  <w:vAlign w:val="center"/>
                </w:tcPr>
                <w:p>
                  <w:pPr>
                    <w:jc w:val="center"/>
                    <w:rPr>
                      <w:rFonts w:ascii="Times New Roman" w:hAnsi="Times New Roman" w:cs="Times New Roman"/>
                      <w:b/>
                      <w:bCs/>
                      <w:szCs w:val="21"/>
                    </w:rPr>
                  </w:pPr>
                  <w:r>
                    <w:rPr>
                      <w:rFonts w:ascii="Times New Roman" w:hAnsi="Times New Roman" w:cs="Times New Roman"/>
                      <w:b/>
                      <w:bCs/>
                      <w:szCs w:val="21"/>
                    </w:rPr>
                    <w:t>夜间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404" w:hRule="exact"/>
                <w:jc w:val="center"/>
              </w:trPr>
              <w:tc>
                <w:tcPr>
                  <w:tcW w:w="432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70</w:t>
                  </w:r>
                </w:p>
                <w:p>
                  <w:pPr>
                    <w:jc w:val="center"/>
                    <w:rPr>
                      <w:rFonts w:ascii="Times New Roman" w:hAnsi="Times New Roman" w:cs="Times New Roman"/>
                      <w:szCs w:val="21"/>
                    </w:rPr>
                  </w:pPr>
                </w:p>
              </w:tc>
              <w:tc>
                <w:tcPr>
                  <w:tcW w:w="413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55</w:t>
                  </w:r>
                </w:p>
                <w:p>
                  <w:pPr>
                    <w:jc w:val="center"/>
                    <w:rPr>
                      <w:rFonts w:ascii="Times New Roman" w:hAnsi="Times New Roman" w:cs="Times New Roman"/>
                      <w:szCs w:val="21"/>
                    </w:rPr>
                  </w:pPr>
                </w:p>
              </w:tc>
            </w:tr>
          </w:tbl>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表4-</w:t>
            </w:r>
            <w:r>
              <w:rPr>
                <w:rFonts w:hint="eastAsia" w:ascii="Times New Roman" w:hAnsi="Times New Roman" w:cs="Times New Roman"/>
                <w:b/>
                <w:bCs/>
                <w:sz w:val="24"/>
                <w:szCs w:val="24"/>
              </w:rPr>
              <w:t>8</w:t>
            </w:r>
            <w:r>
              <w:rPr>
                <w:rFonts w:ascii="Times New Roman" w:hAnsi="Times New Roman" w:cs="Times New Roman"/>
                <w:b/>
                <w:bCs/>
                <w:sz w:val="24"/>
                <w:szCs w:val="24"/>
              </w:rPr>
              <w:t>工业企业厂界环境噪声排放标准  单位：dB (A)</w:t>
            </w:r>
          </w:p>
          <w:tbl>
            <w:tblPr>
              <w:tblStyle w:val="40"/>
              <w:tblW w:w="8454"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2922"/>
              <w:gridCol w:w="2908"/>
              <w:gridCol w:w="262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403" w:hRule="exact"/>
                <w:jc w:val="center"/>
              </w:trPr>
              <w:tc>
                <w:tcPr>
                  <w:tcW w:w="2922" w:type="dxa"/>
                  <w:tcBorders>
                    <w:tl2br w:val="nil"/>
                    <w:tr2bl w:val="nil"/>
                  </w:tcBorders>
                  <w:vAlign w:val="center"/>
                </w:tcPr>
                <w:p>
                  <w:pPr>
                    <w:jc w:val="center"/>
                    <w:rPr>
                      <w:rFonts w:ascii="Times New Roman" w:hAnsi="Times New Roman" w:cs="Times New Roman"/>
                      <w:b/>
                      <w:bCs/>
                      <w:szCs w:val="21"/>
                    </w:rPr>
                  </w:pPr>
                  <w:r>
                    <w:rPr>
                      <w:rFonts w:ascii="Times New Roman" w:hAnsi="Times New Roman" w:cs="Times New Roman"/>
                      <w:b/>
                      <w:bCs/>
                      <w:szCs w:val="21"/>
                    </w:rPr>
                    <w:t>类别</w:t>
                  </w:r>
                </w:p>
                <w:p>
                  <w:pPr>
                    <w:jc w:val="center"/>
                    <w:rPr>
                      <w:rFonts w:ascii="Times New Roman" w:hAnsi="Times New Roman" w:cs="Times New Roman"/>
                      <w:b/>
                      <w:bCs/>
                      <w:szCs w:val="21"/>
                    </w:rPr>
                  </w:pPr>
                </w:p>
              </w:tc>
              <w:tc>
                <w:tcPr>
                  <w:tcW w:w="2908" w:type="dxa"/>
                  <w:tcBorders>
                    <w:tl2br w:val="nil"/>
                    <w:tr2bl w:val="nil"/>
                  </w:tcBorders>
                  <w:vAlign w:val="center"/>
                </w:tcPr>
                <w:p>
                  <w:pPr>
                    <w:jc w:val="center"/>
                    <w:rPr>
                      <w:rFonts w:ascii="Times New Roman" w:hAnsi="Times New Roman" w:cs="Times New Roman"/>
                      <w:b/>
                      <w:bCs/>
                      <w:szCs w:val="21"/>
                    </w:rPr>
                  </w:pPr>
                  <w:r>
                    <w:rPr>
                      <w:rFonts w:ascii="Times New Roman" w:hAnsi="Times New Roman" w:cs="Times New Roman"/>
                      <w:b/>
                      <w:bCs/>
                      <w:szCs w:val="21"/>
                    </w:rPr>
                    <w:t>昼间</w:t>
                  </w:r>
                </w:p>
                <w:p>
                  <w:pPr>
                    <w:jc w:val="center"/>
                    <w:rPr>
                      <w:rFonts w:ascii="Times New Roman" w:hAnsi="Times New Roman" w:cs="Times New Roman"/>
                      <w:b/>
                      <w:bCs/>
                      <w:szCs w:val="21"/>
                    </w:rPr>
                  </w:pPr>
                </w:p>
              </w:tc>
              <w:tc>
                <w:tcPr>
                  <w:tcW w:w="2624" w:type="dxa"/>
                  <w:tcBorders>
                    <w:tl2br w:val="nil"/>
                    <w:tr2bl w:val="nil"/>
                  </w:tcBorders>
                  <w:vAlign w:val="center"/>
                </w:tcPr>
                <w:p>
                  <w:pPr>
                    <w:jc w:val="center"/>
                    <w:rPr>
                      <w:rFonts w:ascii="Times New Roman" w:hAnsi="Times New Roman" w:cs="Times New Roman"/>
                      <w:b/>
                      <w:bCs/>
                      <w:szCs w:val="21"/>
                    </w:rPr>
                  </w:pPr>
                  <w:r>
                    <w:rPr>
                      <w:rFonts w:ascii="Times New Roman" w:hAnsi="Times New Roman" w:cs="Times New Roman"/>
                      <w:b/>
                      <w:bCs/>
                      <w:szCs w:val="21"/>
                    </w:rPr>
                    <w:t>夜间</w:t>
                  </w:r>
                </w:p>
                <w:p>
                  <w:pPr>
                    <w:jc w:val="center"/>
                    <w:rPr>
                      <w:rFonts w:ascii="Times New Roman" w:hAnsi="Times New Roman" w:cs="Times New Roman"/>
                      <w:b/>
                      <w:bCs/>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403" w:hRule="exact"/>
                <w:jc w:val="center"/>
              </w:trPr>
              <w:tc>
                <w:tcPr>
                  <w:tcW w:w="292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2类</w:t>
                  </w:r>
                </w:p>
                <w:p>
                  <w:pPr>
                    <w:jc w:val="center"/>
                    <w:rPr>
                      <w:rFonts w:ascii="Times New Roman" w:hAnsi="Times New Roman" w:cs="Times New Roman"/>
                      <w:szCs w:val="21"/>
                    </w:rPr>
                  </w:pPr>
                </w:p>
              </w:tc>
              <w:tc>
                <w:tcPr>
                  <w:tcW w:w="290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60</w:t>
                  </w:r>
                </w:p>
                <w:p>
                  <w:pPr>
                    <w:jc w:val="center"/>
                    <w:rPr>
                      <w:rFonts w:ascii="Times New Roman" w:hAnsi="Times New Roman" w:cs="Times New Roman"/>
                      <w:szCs w:val="21"/>
                    </w:rPr>
                  </w:pPr>
                </w:p>
              </w:tc>
              <w:tc>
                <w:tcPr>
                  <w:tcW w:w="262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50</w:t>
                  </w:r>
                </w:p>
                <w:p>
                  <w:pPr>
                    <w:jc w:val="center"/>
                    <w:rPr>
                      <w:rFonts w:ascii="Times New Roman" w:hAnsi="Times New Roman" w:cs="Times New Roman"/>
                      <w:szCs w:val="21"/>
                    </w:rPr>
                  </w:pPr>
                </w:p>
              </w:tc>
            </w:tr>
          </w:tbl>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3、 固废</w:t>
            </w:r>
          </w:p>
          <w:p>
            <w:pPr>
              <w:pStyle w:val="2"/>
              <w:spacing w:line="500" w:lineRule="exact"/>
              <w:ind w:firstLine="480" w:firstLineChars="200"/>
              <w:rPr>
                <w:rFonts w:ascii="Times New Roman" w:cs="Times New Roman" w:eastAsiaTheme="minorEastAsia"/>
                <w:color w:val="auto"/>
                <w:spacing w:val="4"/>
              </w:rPr>
            </w:pPr>
            <w:r>
              <w:rPr>
                <w:rFonts w:ascii="Times New Roman" w:cs="Times New Roman" w:eastAsiaTheme="minorEastAsia"/>
              </w:rPr>
              <w:t>运营期产生的</w:t>
            </w:r>
            <w:r>
              <w:rPr>
                <w:rFonts w:ascii="Times New Roman" w:cs="Times New Roman" w:eastAsiaTheme="minorEastAsia"/>
                <w:color w:val="auto"/>
                <w:spacing w:val="4"/>
              </w:rPr>
              <w:t>一般固体废物执行《一般工业固体废物贮存、处置场污染控制标准》（GB18599-2001）及2013修改单。</w:t>
            </w:r>
          </w:p>
          <w:p>
            <w:pPr>
              <w:pStyle w:val="2"/>
              <w:spacing w:line="500" w:lineRule="exact"/>
              <w:ind w:firstLine="480" w:firstLineChars="200"/>
              <w:rPr>
                <w:rFonts w:ascii="Times New Roman" w:cs="Times New Roman" w:eastAsiaTheme="minorEastAsia"/>
              </w:rPr>
            </w:pPr>
            <w:r>
              <w:rPr>
                <w:rFonts w:ascii="Times New Roman" w:cs="Times New Roman" w:eastAsiaTheme="minorEastAsia"/>
              </w:rPr>
              <w:t>运营期维修产生的废机油执行《危险废物贮存污染控制标准》（GB18597-2001）及2013修改单。</w:t>
            </w:r>
          </w:p>
          <w:p>
            <w:pPr>
              <w:pStyle w:val="2"/>
              <w:rPr>
                <w:rFonts w:ascii="Times New Roman" w:cs="Times New Roman"/>
              </w:rPr>
            </w:pPr>
          </w:p>
          <w:p>
            <w:pPr>
              <w:pStyle w:val="2"/>
              <w:rPr>
                <w:rFonts w:asci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85" w:hRule="atLeast"/>
        </w:trPr>
        <w:tc>
          <w:tcPr>
            <w:tcW w:w="496" w:type="dxa"/>
            <w:tcBorders>
              <w:top w:val="single" w:color="auto" w:sz="6" w:space="0"/>
              <w:left w:val="single" w:color="auto" w:sz="12" w:space="0"/>
              <w:bottom w:val="single" w:color="auto" w:sz="12" w:space="0"/>
              <w:right w:val="single" w:color="auto" w:sz="6" w:space="0"/>
            </w:tcBorders>
            <w:vAlign w:val="center"/>
          </w:tcPr>
          <w:p>
            <w:pPr>
              <w:spacing w:line="36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总</w:t>
            </w:r>
          </w:p>
          <w:p>
            <w:pPr>
              <w:spacing w:line="36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量</w:t>
            </w:r>
          </w:p>
          <w:p>
            <w:pPr>
              <w:spacing w:line="36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控</w:t>
            </w:r>
          </w:p>
          <w:p>
            <w:pPr>
              <w:spacing w:line="36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制</w:t>
            </w:r>
          </w:p>
          <w:p>
            <w:pPr>
              <w:spacing w:line="36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指</w:t>
            </w:r>
          </w:p>
          <w:p>
            <w:pPr>
              <w:spacing w:line="360" w:lineRule="exact"/>
              <w:jc w:val="center"/>
              <w:rPr>
                <w:rFonts w:ascii="Times New Roman" w:hAnsi="Times New Roman" w:eastAsia="宋体" w:cs="Times New Roman"/>
                <w:color w:val="000000" w:themeColor="text1"/>
                <w:sz w:val="28"/>
                <w:szCs w:val="24"/>
              </w:rPr>
            </w:pPr>
            <w:r>
              <w:rPr>
                <w:rFonts w:ascii="Times New Roman" w:hAnsi="Times New Roman" w:eastAsia="宋体" w:cs="Times New Roman"/>
                <w:color w:val="000000" w:themeColor="text1"/>
                <w:sz w:val="28"/>
                <w:szCs w:val="24"/>
              </w:rPr>
              <w:t>标</w:t>
            </w:r>
          </w:p>
        </w:tc>
        <w:tc>
          <w:tcPr>
            <w:tcW w:w="8684" w:type="dxa"/>
            <w:tcBorders>
              <w:top w:val="single" w:color="auto" w:sz="6" w:space="0"/>
              <w:left w:val="single" w:color="auto" w:sz="6" w:space="0"/>
              <w:bottom w:val="single" w:color="auto" w:sz="12" w:space="0"/>
              <w:right w:val="single" w:color="auto" w:sz="12" w:space="0"/>
            </w:tcBorders>
          </w:tcPr>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山西省环境保护厅关于印发《山西省环境保护厅建设项目主要污染物排放总量核定办法》的通知（晋环发[2015]25号）中第一章第三条的规定“属于环境统计工业源调查行业范围内（《国民经济行业分类》（GB/T4754）中采矿业、制造业，电力、燃气及水的生产和供应业，3个门类39个行业的企业）新增主要污染物排放总量的建设项目，在环境影响评价文件审批前，建设单位需按本办法规定取得主要污染物排放总量指标。”本项目属于制造业中的砼结构构件制造，需进行总量申请。</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根据国家污染物排放总量控制原则，结合本项目排污特点，本项目实施总量控制的污染因子为粉尘，核定总量为</w:t>
            </w:r>
            <w:r>
              <w:rPr>
                <w:rFonts w:hint="eastAsia" w:ascii="Times New Roman" w:hAnsi="Times New Roman" w:cs="Times New Roman"/>
                <w:sz w:val="24"/>
                <w:szCs w:val="24"/>
                <w:lang w:val="en-US" w:eastAsia="zh-CN"/>
              </w:rPr>
              <w:t>1.44</w:t>
            </w:r>
            <w:r>
              <w:rPr>
                <w:rFonts w:ascii="Times New Roman" w:hAnsi="Times New Roman" w:cs="Times New Roman"/>
                <w:sz w:val="24"/>
                <w:szCs w:val="24"/>
              </w:rPr>
              <w:t>t/a。</w:t>
            </w:r>
          </w:p>
          <w:p>
            <w:pPr>
              <w:adjustRightInd w:val="0"/>
              <w:spacing w:line="500" w:lineRule="exact"/>
              <w:ind w:firstLine="513" w:firstLineChars="214"/>
              <w:textAlignment w:val="baseline"/>
              <w:rPr>
                <w:rFonts w:ascii="Times New Roman" w:hAnsi="Times New Roman" w:cs="Times New Roman"/>
                <w:sz w:val="24"/>
                <w:szCs w:val="24"/>
              </w:rPr>
            </w:pPr>
            <w:r>
              <w:rPr>
                <w:rFonts w:ascii="Times New Roman" w:hAnsi="Times New Roman" w:cs="Times New Roman"/>
                <w:sz w:val="24"/>
                <w:szCs w:val="24"/>
              </w:rPr>
              <w:t>此次环评详细计算了污染物排放总量，具体污染物排放量指标情况见下表4-</w:t>
            </w:r>
            <w:r>
              <w:rPr>
                <w:rFonts w:hint="eastAsia" w:ascii="Times New Roman" w:hAnsi="Times New Roman" w:cs="Times New Roman"/>
                <w:sz w:val="24"/>
                <w:szCs w:val="24"/>
              </w:rPr>
              <w:t>9</w:t>
            </w:r>
            <w:r>
              <w:rPr>
                <w:rFonts w:ascii="Times New Roman" w:hAnsi="Times New Roman" w:cs="Times New Roman"/>
                <w:sz w:val="24"/>
                <w:szCs w:val="24"/>
              </w:rPr>
              <w:t>。</w:t>
            </w:r>
          </w:p>
          <w:p>
            <w:pPr>
              <w:adjustRightInd w:val="0"/>
              <w:spacing w:line="480" w:lineRule="exac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表4-</w:t>
            </w:r>
            <w:r>
              <w:rPr>
                <w:rFonts w:hint="eastAsia" w:ascii="Times New Roman" w:hAnsi="Times New Roman" w:cs="Times New Roman"/>
                <w:b/>
                <w:bCs/>
                <w:sz w:val="24"/>
                <w:szCs w:val="24"/>
              </w:rPr>
              <w:t>9</w:t>
            </w:r>
            <w:r>
              <w:rPr>
                <w:rFonts w:ascii="Times New Roman" w:hAnsi="Times New Roman" w:cs="Times New Roman"/>
                <w:b/>
                <w:bCs/>
                <w:sz w:val="24"/>
                <w:szCs w:val="24"/>
              </w:rPr>
              <w:t xml:space="preserve"> 总量控制指标表（单位：t/a）</w:t>
            </w:r>
          </w:p>
          <w:tbl>
            <w:tblPr>
              <w:tblStyle w:val="40"/>
              <w:tblW w:w="845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291"/>
              <w:gridCol w:w="1787"/>
              <w:gridCol w:w="1772"/>
              <w:gridCol w:w="1937"/>
              <w:gridCol w:w="16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291" w:type="dxa"/>
                  <w:tcBorders>
                    <w:tl2br w:val="nil"/>
                    <w:tr2bl w:val="nil"/>
                  </w:tcBorders>
                  <w:vAlign w:val="center"/>
                </w:tcPr>
                <w:p>
                  <w:pPr>
                    <w:jc w:val="center"/>
                    <w:rPr>
                      <w:rFonts w:ascii="Times New Roman" w:hAnsi="Times New Roman" w:eastAsia="宋体" w:cs="Times New Roman"/>
                      <w:b/>
                      <w:bCs/>
                      <w:color w:val="333333"/>
                      <w:szCs w:val="21"/>
                    </w:rPr>
                  </w:pPr>
                  <w:r>
                    <w:rPr>
                      <w:rFonts w:ascii="Times New Roman" w:hAnsi="Times New Roman" w:cs="Times New Roman"/>
                      <w:b/>
                      <w:bCs/>
                      <w:szCs w:val="21"/>
                    </w:rPr>
                    <w:t>类别</w:t>
                  </w:r>
                </w:p>
              </w:tc>
              <w:tc>
                <w:tcPr>
                  <w:tcW w:w="1787" w:type="dxa"/>
                  <w:tcBorders>
                    <w:tl2br w:val="nil"/>
                    <w:tr2bl w:val="nil"/>
                  </w:tcBorders>
                  <w:vAlign w:val="center"/>
                </w:tcPr>
                <w:p>
                  <w:pPr>
                    <w:jc w:val="center"/>
                    <w:rPr>
                      <w:rFonts w:ascii="Times New Roman" w:hAnsi="Times New Roman" w:eastAsia="宋体" w:cs="Times New Roman"/>
                      <w:b/>
                      <w:bCs/>
                      <w:color w:val="333333"/>
                      <w:szCs w:val="21"/>
                    </w:rPr>
                  </w:pPr>
                  <w:r>
                    <w:rPr>
                      <w:rFonts w:ascii="Times New Roman" w:hAnsi="Times New Roman" w:cs="Times New Roman"/>
                      <w:b/>
                      <w:bCs/>
                      <w:szCs w:val="21"/>
                    </w:rPr>
                    <w:t>污染物名称</w:t>
                  </w:r>
                </w:p>
              </w:tc>
              <w:tc>
                <w:tcPr>
                  <w:tcW w:w="1772" w:type="dxa"/>
                  <w:tcBorders>
                    <w:tl2br w:val="nil"/>
                    <w:tr2bl w:val="nil"/>
                  </w:tcBorders>
                  <w:vAlign w:val="center"/>
                </w:tcPr>
                <w:p>
                  <w:pPr>
                    <w:jc w:val="center"/>
                    <w:rPr>
                      <w:rFonts w:ascii="Times New Roman" w:hAnsi="Times New Roman" w:eastAsia="宋体" w:cs="Times New Roman"/>
                      <w:b/>
                      <w:bCs/>
                      <w:color w:val="333333"/>
                      <w:szCs w:val="21"/>
                    </w:rPr>
                  </w:pPr>
                  <w:r>
                    <w:rPr>
                      <w:rFonts w:ascii="Times New Roman" w:hAnsi="Times New Roman" w:cs="Times New Roman"/>
                      <w:b/>
                      <w:bCs/>
                      <w:szCs w:val="21"/>
                    </w:rPr>
                    <w:t>污染物排放量</w:t>
                  </w:r>
                </w:p>
              </w:tc>
              <w:tc>
                <w:tcPr>
                  <w:tcW w:w="1937" w:type="dxa"/>
                  <w:tcBorders>
                    <w:tl2br w:val="nil"/>
                    <w:tr2bl w:val="nil"/>
                  </w:tcBorders>
                  <w:vAlign w:val="center"/>
                </w:tcPr>
                <w:p>
                  <w:pPr>
                    <w:jc w:val="center"/>
                    <w:rPr>
                      <w:rFonts w:ascii="Times New Roman" w:hAnsi="Times New Roman" w:eastAsia="宋体" w:cs="Times New Roman"/>
                      <w:b/>
                      <w:bCs/>
                      <w:color w:val="333333"/>
                      <w:szCs w:val="21"/>
                    </w:rPr>
                  </w:pPr>
                  <w:r>
                    <w:rPr>
                      <w:rFonts w:ascii="Times New Roman" w:hAnsi="Times New Roman" w:cs="Times New Roman"/>
                      <w:b/>
                      <w:bCs/>
                      <w:szCs w:val="21"/>
                    </w:rPr>
                    <w:t>项目申请量</w:t>
                  </w:r>
                </w:p>
              </w:tc>
              <w:tc>
                <w:tcPr>
                  <w:tcW w:w="1667" w:type="dxa"/>
                  <w:tcBorders>
                    <w:tl2br w:val="nil"/>
                    <w:tr2bl w:val="nil"/>
                  </w:tcBorders>
                  <w:vAlign w:val="center"/>
                </w:tcPr>
                <w:p>
                  <w:pPr>
                    <w:ind w:firstLine="422" w:firstLineChars="200"/>
                    <w:rPr>
                      <w:rFonts w:ascii="Times New Roman" w:hAnsi="Times New Roman" w:cs="Times New Roman"/>
                      <w:b/>
                      <w:bCs/>
                      <w:szCs w:val="21"/>
                    </w:rPr>
                  </w:pPr>
                  <w:r>
                    <w:rPr>
                      <w:rFonts w:ascii="Times New Roman" w:hAnsi="Times New Roman" w:cs="Times New Roman"/>
                      <w:b/>
                      <w:bCs/>
                      <w:szCs w:val="21"/>
                    </w:rPr>
                    <w:t>核定总量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0" w:hRule="atLeast"/>
                <w:jc w:val="center"/>
              </w:trPr>
              <w:tc>
                <w:tcPr>
                  <w:tcW w:w="1291" w:type="dxa"/>
                  <w:tcBorders>
                    <w:tl2br w:val="nil"/>
                    <w:tr2bl w:val="nil"/>
                  </w:tcBorders>
                  <w:vAlign w:val="center"/>
                </w:tcPr>
                <w:p>
                  <w:pPr>
                    <w:jc w:val="center"/>
                    <w:rPr>
                      <w:rFonts w:ascii="Times New Roman" w:hAnsi="Times New Roman" w:eastAsia="宋体" w:cs="Times New Roman"/>
                      <w:color w:val="333333"/>
                      <w:szCs w:val="21"/>
                    </w:rPr>
                  </w:pPr>
                  <w:r>
                    <w:rPr>
                      <w:rFonts w:ascii="Times New Roman" w:hAnsi="Times New Roman" w:cs="Times New Roman"/>
                      <w:szCs w:val="21"/>
                    </w:rPr>
                    <w:t>大气污染物</w:t>
                  </w:r>
                </w:p>
              </w:tc>
              <w:tc>
                <w:tcPr>
                  <w:tcW w:w="1787" w:type="dxa"/>
                  <w:tcBorders>
                    <w:tl2br w:val="nil"/>
                    <w:tr2bl w:val="nil"/>
                  </w:tcBorders>
                  <w:vAlign w:val="center"/>
                </w:tcPr>
                <w:p>
                  <w:pPr>
                    <w:jc w:val="center"/>
                    <w:rPr>
                      <w:rFonts w:ascii="Times New Roman" w:hAnsi="Times New Roman" w:eastAsia="宋体" w:cs="Times New Roman"/>
                      <w:color w:val="333333"/>
                      <w:szCs w:val="21"/>
                    </w:rPr>
                  </w:pPr>
                  <w:r>
                    <w:rPr>
                      <w:rFonts w:ascii="Times New Roman" w:hAnsi="Times New Roman" w:cs="Times New Roman"/>
                      <w:szCs w:val="21"/>
                    </w:rPr>
                    <w:t>颗粒物</w:t>
                  </w:r>
                </w:p>
              </w:tc>
              <w:tc>
                <w:tcPr>
                  <w:tcW w:w="1772" w:type="dxa"/>
                  <w:tcBorders>
                    <w:tl2br w:val="nil"/>
                    <w:tr2bl w:val="nil"/>
                  </w:tcBorders>
                  <w:vAlign w:val="center"/>
                </w:tcPr>
                <w:p>
                  <w:pPr>
                    <w:adjustRightInd w:val="0"/>
                    <w:jc w:val="center"/>
                    <w:textAlignment w:val="baseline"/>
                    <w:rPr>
                      <w:rFonts w:hint="default" w:ascii="Times New Roman" w:hAnsi="Times New Roman" w:cs="Times New Roman" w:eastAsiaTheme="minorEastAsia"/>
                      <w:color w:val="333333"/>
                      <w:kern w:val="0"/>
                      <w:szCs w:val="21"/>
                      <w:highlight w:val="yellow"/>
                      <w:lang w:val="en-US" w:eastAsia="zh-CN"/>
                    </w:rPr>
                  </w:pPr>
                  <w:r>
                    <w:rPr>
                      <w:rFonts w:hint="eastAsia" w:ascii="Times New Roman" w:hAnsi="Times New Roman" w:cs="Times New Roman"/>
                      <w:kern w:val="0"/>
                      <w:szCs w:val="21"/>
                      <w:lang w:val="en-US" w:eastAsia="zh-CN"/>
                    </w:rPr>
                    <w:t>1.44</w:t>
                  </w:r>
                </w:p>
              </w:tc>
              <w:tc>
                <w:tcPr>
                  <w:tcW w:w="1937" w:type="dxa"/>
                  <w:tcBorders>
                    <w:tl2br w:val="nil"/>
                    <w:tr2bl w:val="nil"/>
                  </w:tcBorders>
                  <w:vAlign w:val="center"/>
                </w:tcPr>
                <w:p>
                  <w:pPr>
                    <w:adjustRightInd w:val="0"/>
                    <w:jc w:val="center"/>
                    <w:textAlignment w:val="baseline"/>
                    <w:rPr>
                      <w:rFonts w:ascii="Times New Roman" w:hAnsi="Times New Roman" w:cs="Times New Roman"/>
                      <w:color w:val="333333"/>
                      <w:kern w:val="0"/>
                      <w:szCs w:val="21"/>
                      <w:highlight w:val="yellow"/>
                    </w:rPr>
                  </w:pPr>
                  <w:r>
                    <w:rPr>
                      <w:rFonts w:hint="eastAsia" w:ascii="Times New Roman" w:hAnsi="Times New Roman" w:cs="Times New Roman"/>
                      <w:kern w:val="0"/>
                      <w:szCs w:val="21"/>
                      <w:lang w:val="en-US" w:eastAsia="zh-CN"/>
                    </w:rPr>
                    <w:t>1.44</w:t>
                  </w:r>
                </w:p>
              </w:tc>
              <w:tc>
                <w:tcPr>
                  <w:tcW w:w="1667" w:type="dxa"/>
                  <w:tcBorders>
                    <w:tl2br w:val="nil"/>
                    <w:tr2bl w:val="nil"/>
                  </w:tcBorders>
                  <w:vAlign w:val="center"/>
                </w:tcPr>
                <w:p>
                  <w:pPr>
                    <w:adjustRightInd w:val="0"/>
                    <w:ind w:firstLine="630" w:firstLineChars="300"/>
                    <w:textAlignment w:val="baseline"/>
                    <w:rPr>
                      <w:rFonts w:ascii="Times New Roman" w:hAnsi="Times New Roman" w:cs="Times New Roman"/>
                      <w:kern w:val="0"/>
                      <w:szCs w:val="21"/>
                    </w:rPr>
                  </w:pPr>
                  <w:r>
                    <w:rPr>
                      <w:rFonts w:hint="eastAsia" w:ascii="Times New Roman" w:hAnsi="Times New Roman" w:cs="Times New Roman"/>
                      <w:kern w:val="0"/>
                      <w:szCs w:val="21"/>
                      <w:lang w:val="en-US" w:eastAsia="zh-CN"/>
                    </w:rPr>
                    <w:t>1.44</w:t>
                  </w:r>
                </w:p>
              </w:tc>
            </w:tr>
          </w:tbl>
          <w:p>
            <w:pPr>
              <w:spacing w:line="300" w:lineRule="exact"/>
              <w:ind w:firstLine="420" w:firstLineChars="200"/>
              <w:rPr>
                <w:rFonts w:ascii="Times New Roman" w:hAnsi="Times New Roman" w:eastAsia="宋体" w:cs="Times New Roman"/>
                <w:bCs/>
                <w:color w:val="000000" w:themeColor="text1"/>
                <w:szCs w:val="24"/>
              </w:rPr>
            </w:pPr>
          </w:p>
          <w:p>
            <w:pPr>
              <w:pStyle w:val="2"/>
              <w:spacing w:line="300" w:lineRule="exact"/>
              <w:rPr>
                <w:rFonts w:ascii="Times New Roman" w:cs="Times New Roman"/>
              </w:rPr>
            </w:pPr>
          </w:p>
          <w:p>
            <w:pPr>
              <w:pStyle w:val="2"/>
              <w:spacing w:line="300" w:lineRule="exact"/>
              <w:rPr>
                <w:rFonts w:ascii="Times New Roman" w:cs="Times New Roman"/>
              </w:rPr>
            </w:pPr>
          </w:p>
          <w:p>
            <w:pPr>
              <w:pStyle w:val="2"/>
              <w:spacing w:line="300" w:lineRule="exact"/>
              <w:rPr>
                <w:rFonts w:ascii="Times New Roman" w:cs="Times New Roman"/>
              </w:rPr>
            </w:pPr>
          </w:p>
          <w:p>
            <w:pPr>
              <w:pStyle w:val="2"/>
              <w:spacing w:line="300" w:lineRule="exact"/>
              <w:rPr>
                <w:rFonts w:ascii="Times New Roman" w:cs="Times New Roman"/>
              </w:rPr>
            </w:pPr>
          </w:p>
          <w:p>
            <w:pPr>
              <w:pStyle w:val="2"/>
              <w:spacing w:line="300" w:lineRule="exact"/>
              <w:rPr>
                <w:rFonts w:ascii="Times New Roman" w:cs="Times New Roman"/>
              </w:rPr>
            </w:pPr>
          </w:p>
          <w:p>
            <w:pPr>
              <w:pStyle w:val="2"/>
              <w:spacing w:line="300" w:lineRule="exact"/>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tc>
      </w:tr>
    </w:tbl>
    <w:p>
      <w:pPr>
        <w:rPr>
          <w:rFonts w:ascii="Times New Roman" w:hAnsi="Times New Roman" w:eastAsia="黑体" w:cs="Times New Roman"/>
          <w:bCs/>
          <w:color w:val="000000" w:themeColor="text1"/>
          <w:sz w:val="32"/>
          <w:szCs w:val="32"/>
        </w:rPr>
      </w:pPr>
      <w:r>
        <w:rPr>
          <w:rFonts w:hint="eastAsia" w:ascii="Times New Roman" w:hAnsi="Times New Roman" w:eastAsia="黑体" w:cs="Times New Roman"/>
          <w:bCs/>
          <w:color w:val="000000" w:themeColor="text1"/>
          <w:sz w:val="32"/>
          <w:szCs w:val="32"/>
        </w:rPr>
        <w:t>五、</w:t>
      </w:r>
      <w:r>
        <w:rPr>
          <w:rFonts w:ascii="Times New Roman" w:hAnsi="Times New Roman" w:eastAsia="黑体" w:cs="Times New Roman"/>
          <w:bCs/>
          <w:color w:val="000000" w:themeColor="text1"/>
          <w:sz w:val="32"/>
          <w:szCs w:val="32"/>
        </w:rPr>
        <w:t>建设项目工程分析</w:t>
      </w:r>
    </w:p>
    <w:tbl>
      <w:tblPr>
        <w:tblStyle w:val="40"/>
        <w:tblW w:w="90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91" w:hRule="atLeast"/>
        </w:trPr>
        <w:tc>
          <w:tcPr>
            <w:tcW w:w="9045" w:type="dxa"/>
            <w:tcBorders>
              <w:top w:val="single" w:color="auto" w:sz="12" w:space="0"/>
              <w:left w:val="single" w:color="auto" w:sz="12" w:space="0"/>
              <w:bottom w:val="single" w:color="auto" w:sz="6" w:space="0"/>
              <w:right w:val="single" w:color="auto" w:sz="12" w:space="0"/>
            </w:tcBorders>
          </w:tcPr>
          <w:p>
            <w:pPr>
              <w:spacing w:line="480" w:lineRule="exac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工艺流程简述（图示）：</w:t>
            </w:r>
          </w:p>
          <w:p>
            <w:pPr>
              <w:spacing w:line="480" w:lineRule="exac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1、施工期</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项目施工期主要建设内容为</w:t>
            </w:r>
            <w:r>
              <w:rPr>
                <w:rFonts w:hint="eastAsia" w:ascii="Times New Roman" w:hAnsi="Times New Roman" w:eastAsia="宋体" w:cs="Times New Roman"/>
                <w:color w:val="000000" w:themeColor="text1"/>
                <w:sz w:val="24"/>
                <w:szCs w:val="24"/>
              </w:rPr>
              <w:t>生产车间</w:t>
            </w:r>
            <w:r>
              <w:rPr>
                <w:rFonts w:ascii="Times New Roman" w:hAnsi="Times New Roman" w:eastAsia="宋体" w:cs="Times New Roman"/>
                <w:color w:val="000000" w:themeColor="text1"/>
                <w:sz w:val="24"/>
                <w:szCs w:val="24"/>
              </w:rPr>
              <w:t>等主体工程及办公生活区等辅助工程的建设，在施工期间的地基开挖、土地平整、主体工程、设备安装及工程验收等建设工序将产生扬尘、固体废弃物、废水及噪声等污染物。项目安装及工程验收等建设工序将产生扬尘、固体废弃物、废水及噪声等污染物。项目施工期较短，且产生的影响随着施工的结束而消失，施工期工艺流程及排污节点见示意图5-1。</w:t>
            </w:r>
          </w:p>
          <w:p>
            <w:pPr>
              <w:pStyle w:val="2"/>
              <w:rPr>
                <w:rFonts w:ascii="Times New Roman" w:cs="Times New Roman"/>
              </w:rPr>
            </w:pPr>
          </w:p>
          <w:p>
            <w:pPr>
              <w:spacing w:line="480" w:lineRule="exact"/>
              <w:rPr>
                <w:rFonts w:ascii="Times New Roman" w:hAnsi="Times New Roman" w:eastAsia="宋体" w:cs="Times New Roman"/>
                <w:color w:val="000000" w:themeColor="text1"/>
                <w:sz w:val="24"/>
                <w:szCs w:val="24"/>
              </w:rPr>
            </w:pPr>
            <w:r>
              <w:rPr>
                <w:rFonts w:ascii="Times New Roman" w:hAnsi="Times New Roman" w:cs="Times New Roman"/>
                <w:sz w:val="24"/>
              </w:rPr>
              <w:pict>
                <v:group id="_x0000_s1181" o:spid="_x0000_s1181" o:spt="203" style="position:absolute;left:0pt;margin-left:16.05pt;margin-top:3.95pt;height:167.7pt;width:425.45pt;z-index:251655168;mso-width-relative:page;mso-height-relative:page;" coordorigin="70,5367" coordsize="85,33">
                  <o:lock v:ext="edit"/>
                  <v:line id="_x0000_s1171" o:spid="_x0000_s1171" o:spt="20" style="position:absolute;left:85;top:5380;height:0;width:4;" coordsize="21600,21600">
                    <v:path arrowok="t"/>
                    <v:fill focussize="0,0"/>
                    <v:stroke endarrow="open"/>
                    <v:imagedata o:title=""/>
                    <o:lock v:ext="edit"/>
                  </v:line>
                  <v:rect id="_x0000_s1175" o:spid="_x0000_s1175" o:spt="1" style="position:absolute;left:144;top:5378;height:4;width:11;" coordsize="21600,21600">
                    <v:path/>
                    <v:fill focussize="0,0"/>
                    <v:stroke/>
                    <v:imagedata o:title=""/>
                    <o:lock v:ext="edit"/>
                    <v:textbox>
                      <w:txbxContent>
                        <w:p>
                          <w:r>
                            <w:rPr>
                              <w:rFonts w:hint="eastAsia"/>
                            </w:rPr>
                            <w:t>工程验收</w:t>
                          </w:r>
                        </w:p>
                      </w:txbxContent>
                    </v:textbox>
                  </v:rect>
                  <v:line id="_x0000_s1179" o:spid="_x0000_s1179" o:spt="20" style="position:absolute;left:115;top:5383;height:12;width:0;" coordsize="21600,21600">
                    <v:path arrowok="t"/>
                    <v:fill focussize="0,0"/>
                    <v:stroke dashstyle="dash" endarrow="open"/>
                    <v:imagedata o:title=""/>
                    <o:lock v:ext="edit"/>
                  </v:line>
                  <v:line id="_x0000_s1176" o:spid="_x0000_s1176" o:spt="20" style="position:absolute;left:78;top:5383;height:6;width:0;" coordsize="21600,21600">
                    <v:path arrowok="t"/>
                    <v:fill focussize="0,0"/>
                    <v:stroke dashstyle="dash"/>
                    <v:imagedata o:title=""/>
                    <o:lock v:ext="edit"/>
                  </v:line>
                  <v:line id="_x0000_s1177" o:spid="_x0000_s1177" o:spt="20" style="position:absolute;left:78;top:5389;height:0;width:73;" coordsize="21600,21600">
                    <v:path arrowok="t"/>
                    <v:fill focussize="0,0"/>
                    <v:stroke dashstyle="dash"/>
                    <v:imagedata o:title=""/>
                    <o:lock v:ext="edit"/>
                  </v:line>
                  <v:group id="_x0000_s1158" o:spid="_x0000_s1158" o:spt="203" style="position:absolute;left:70;top:5367;height:16;width:14;" coordorigin="70,5367" coordsize="16,15">
                    <o:lock v:ext="edit"/>
                    <v:rect id="矩形 168" o:spid="_x0000_s1112" o:spt="1" style="position:absolute;left:71;top:5378;height:5;width:15;" coordsize="21600,21600" o:gfxdata="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cPH&#10;9NgAAAAKAQAADwAAAAAAAAABACAAAAAiAAAAZHJzL2Rvd25yZXYueG1sUEsBAhQAFAAAAAgAh07i&#10;QJ7Az9TpAQAA3gMAAA4AAAAAAAAAAQAgAAAAJwEAAGRycy9lMm9Eb2MueG1sUEsFBgAAAAAGAAYA&#10;WQEAAIIFAAAAAA==&#10;">
                      <v:path/>
                      <v:fill focussize="0,0"/>
                      <v:stroke/>
                      <v:imagedata o:title=""/>
                      <o:lock v:ext="edit"/>
                      <v:textbox>
                        <w:txbxContent>
                          <w:p>
                            <w:pPr>
                              <w:jc w:val="center"/>
                            </w:pPr>
                            <w:r>
                              <w:rPr>
                                <w:rFonts w:hint="eastAsia"/>
                              </w:rPr>
                              <w:t>地基开挖</w:t>
                            </w:r>
                          </w:p>
                        </w:txbxContent>
                      </v:textbox>
                    </v:rect>
                    <v:shape id="自选图形 182" o:spid="_x0000_s1111" o:spt="32" type="#_x0000_t32" style="position:absolute;left:78;top:5372;flip:y;height:6;width:0;" filled="f" coordsize="21600,21600">
                      <v:path arrowok="t"/>
                      <v:fill on="f" focussize="0,0"/>
                      <v:stroke dashstyle="dash" endarrow="block"/>
                      <v:imagedata o:title=""/>
                      <o:lock v:ext="edit"/>
                    </v:shape>
                    <v:rect id="矩形 168" o:spid="_x0000_s1157" o:spt="1" style="position:absolute;left:70;top:5367;height:5;width:16;" coordsize="21600,21600">
                      <v:path/>
                      <v:fill focussize="0,0"/>
                      <v:stroke dashstyle="dash"/>
                      <v:imagedata o:title=""/>
                      <o:lock v:ext="edit"/>
                      <v:textbox>
                        <w:txbxContent>
                          <w:p>
                            <w:pPr>
                              <w:jc w:val="center"/>
                            </w:pPr>
                            <w:r>
                              <w:rPr>
                                <w:rFonts w:hint="eastAsia"/>
                              </w:rPr>
                              <w:t>噪声、扬尘</w:t>
                            </w:r>
                          </w:p>
                        </w:txbxContent>
                      </v:textbox>
                    </v:rect>
                  </v:group>
                  <v:group id="_x0000_s1029" o:spid="_x0000_s1029" o:spt="203" style="position:absolute;left:127;top:5367;height:15;width:14;" coordorigin="70,5367" coordsize="16,15">
                    <o:lock v:ext="edit"/>
                    <v:rect id="矩形 168" o:spid="_x0000_s1049" o:spt="1" style="position:absolute;left:71;top:5378;height:5;width:15;" coordsize="21600,21600" o:gfxdata="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cPH&#10;9NgAAAAKAQAADwAAAAAAAAABACAAAAAiAAAAZHJzL2Rvd25yZXYueG1sUEsBAhQAFAAAAAgAh07i&#10;QJ7Az9TpAQAA3gMAAA4AAAAAAAAAAQAgAAAAJwEAAGRycy9lMm9Eb2MueG1sUEsFBgAAAAAGAAYA&#10;WQEAAIIFAAAAAA==&#10;">
                      <v:path/>
                      <v:fill focussize="0,0"/>
                      <v:stroke/>
                      <v:imagedata o:title=""/>
                      <o:lock v:ext="edit"/>
                      <v:textbox>
                        <w:txbxContent>
                          <w:p>
                            <w:pPr>
                              <w:jc w:val="center"/>
                            </w:pPr>
                            <w:r>
                              <w:rPr>
                                <w:rFonts w:hint="eastAsia"/>
                              </w:rPr>
                              <w:t>设备安装</w:t>
                            </w:r>
                          </w:p>
                        </w:txbxContent>
                      </v:textbox>
                    </v:rect>
                    <v:shape id="自选图形 182" o:spid="_x0000_s1065" o:spt="32" type="#_x0000_t32" style="position:absolute;left:78;top:5372;flip:y;height:6;width:0;" filled="f" coordsize="21600,21600">
                      <v:path arrowok="t"/>
                      <v:fill on="f" focussize="0,0"/>
                      <v:stroke dashstyle="dash" endarrow="block"/>
                      <v:imagedata o:title=""/>
                      <o:lock v:ext="edit"/>
                    </v:shape>
                    <v:rect id="矩形 168" o:spid="_x0000_s1072" o:spt="1" style="position:absolute;left:70;top:5367;height:5;width:16;" coordsize="21600,21600">
                      <v:path/>
                      <v:fill focussize="0,0"/>
                      <v:stroke dashstyle="dash"/>
                      <v:imagedata o:title=""/>
                      <o:lock v:ext="edit"/>
                      <v:textbox>
                        <w:txbxContent>
                          <w:p>
                            <w:pPr>
                              <w:jc w:val="center"/>
                            </w:pPr>
                            <w:r>
                              <w:rPr>
                                <w:rFonts w:hint="eastAsia"/>
                              </w:rPr>
                              <w:t>噪声、固废</w:t>
                            </w:r>
                          </w:p>
                        </w:txbxContent>
                      </v:textbox>
                    </v:rect>
                  </v:group>
                  <v:group id="_x0000_s1159" o:spid="_x0000_s1159" o:spt="203" style="position:absolute;left:107;top:5367;height:16;width:16;" coordorigin="70,5367" coordsize="16,15">
                    <o:lock v:ext="edit"/>
                    <v:rect id="矩形 168" o:spid="_x0000_s1160" o:spt="1" style="position:absolute;left:71;top:5378;height:5;width:15;" coordsize="21600,21600" o:gfxdata="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cPH&#10;9NgAAAAKAQAADwAAAAAAAAABACAAAAAiAAAAZHJzL2Rvd25yZXYueG1sUEsBAhQAFAAAAAgAh07i&#10;QJ7Az9TpAQAA3gMAAA4AAAAAAAAAAQAgAAAAJwEAAGRycy9lMm9Eb2MueG1sUEsFBgAAAAAGAAYA&#10;WQEAAIIFAAAAAA==&#10;">
                      <v:path/>
                      <v:fill focussize="0,0"/>
                      <v:stroke/>
                      <v:imagedata o:title=""/>
                      <o:lock v:ext="edit"/>
                      <v:textbox>
                        <w:txbxContent>
                          <w:p>
                            <w:pPr>
                              <w:jc w:val="center"/>
                            </w:pPr>
                            <w:r>
                              <w:rPr>
                                <w:rFonts w:hint="eastAsia"/>
                                <w:w w:val="90"/>
                              </w:rPr>
                              <w:t>主体工程建设</w:t>
                            </w:r>
                          </w:p>
                        </w:txbxContent>
                      </v:textbox>
                    </v:rect>
                    <v:shape id="自选图形 182" o:spid="_x0000_s1161" o:spt="32" type="#_x0000_t32" style="position:absolute;left:78;top:5372;flip:y;height:6;width:0;" filled="f" coordsize="21600,21600">
                      <v:path arrowok="t"/>
                      <v:fill on="f" focussize="0,0"/>
                      <v:stroke dashstyle="dash" endarrow="block"/>
                      <v:imagedata o:title=""/>
                      <o:lock v:ext="edit"/>
                    </v:shape>
                    <v:rect id="矩形 168" o:spid="_x0000_s1162" o:spt="1" style="position:absolute;left:70;top:5367;height:5;width:16;" coordsize="21600,21600">
                      <v:path/>
                      <v:fill focussize="0,0"/>
                      <v:stroke dashstyle="dash"/>
                      <v:imagedata o:title=""/>
                      <o:lock v:ext="edit"/>
                      <v:textbox>
                        <w:txbxContent>
                          <w:p>
                            <w:pPr>
                              <w:jc w:val="center"/>
                            </w:pPr>
                            <w:r>
                              <w:rPr>
                                <w:rFonts w:hint="eastAsia"/>
                              </w:rPr>
                              <w:t>噪声、扬尘</w:t>
                            </w:r>
                          </w:p>
                        </w:txbxContent>
                      </v:textbox>
                    </v:rect>
                  </v:group>
                  <v:line id="_x0000_s1172" o:spid="_x0000_s1172" o:spt="20" style="position:absolute;left:104;top:5381;height:0;width:4;" coordsize="21600,21600">
                    <v:path arrowok="t"/>
                    <v:fill focussize="0,0"/>
                    <v:stroke endarrow="open"/>
                    <v:imagedata o:title=""/>
                    <o:lock v:ext="edit"/>
                  </v:line>
                  <v:line id="_x0000_s1173" o:spid="_x0000_s1173" o:spt="20" style="position:absolute;left:123;top:5380;height:0;width:4;" coordsize="21600,21600">
                    <v:path arrowok="t"/>
                    <v:fill focussize="0,0"/>
                    <v:stroke endarrow="open"/>
                    <v:imagedata o:title=""/>
                    <o:lock v:ext="edit"/>
                  </v:line>
                  <v:line id="_x0000_s1174" o:spid="_x0000_s1174" o:spt="20" style="position:absolute;left:141;top:5380;height:0;width:3;" coordsize="21600,21600">
                    <v:path arrowok="t"/>
                    <v:fill focussize="0,0"/>
                    <v:stroke endarrow="open"/>
                    <v:imagedata o:title=""/>
                    <o:lock v:ext="edit"/>
                  </v:line>
                  <v:rect id="_x0000_s1180" o:spid="_x0000_s1180" o:spt="1" style="position:absolute;left:102;top:5396;height:4;width:25;" coordsize="21600,21600">
                    <v:path/>
                    <v:fill focussize="0,0"/>
                    <v:stroke/>
                    <v:imagedata o:title=""/>
                    <o:lock v:ext="edit"/>
                    <v:textbox>
                      <w:txbxContent>
                        <w:p>
                          <w:pPr>
                            <w:jc w:val="center"/>
                          </w:pPr>
                          <w:r>
                            <w:rPr>
                              <w:rFonts w:hint="eastAsia"/>
                            </w:rPr>
                            <w:t>施工废水、建筑垃圾</w:t>
                          </w:r>
                        </w:p>
                      </w:txbxContent>
                    </v:textbox>
                  </v:rect>
                  <v:line id="_x0000_s1178" o:spid="_x0000_s1178" o:spt="20" style="position:absolute;left:151;top:5383;height:6;width:0;" coordsize="21600,21600">
                    <v:path arrowok="t"/>
                    <v:fill focussize="0,0"/>
                    <v:stroke dashstyle="dash"/>
                    <v:imagedata o:title=""/>
                    <o:lock v:ext="edit"/>
                  </v:line>
                  <v:group id="_x0000_s1163" o:spid="_x0000_s1163" o:spt="203" style="position:absolute;left:88;top:5367;height:16;width:16;" coordorigin="70,5367" coordsize="16,15">
                    <o:lock v:ext="edit"/>
                    <v:rect id="矩形 168" o:spid="_x0000_s1164" o:spt="1" style="position:absolute;left:71;top:5378;height:5;width:15;" coordsize="21600,21600" o:gfxdata="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cPH&#10;9NgAAAAKAQAADwAAAAAAAAABACAAAAAiAAAAZHJzL2Rvd25yZXYueG1sUEsBAhQAFAAAAAgAh07i&#10;QJ7Az9TpAQAA3gMAAA4AAAAAAAAAAQAgAAAAJwEAAGRycy9lMm9Eb2MueG1sUEsFBgAAAAAGAAYA&#10;WQEAAIIFAAAAAA==&#10;">
                      <v:path/>
                      <v:fill focussize="0,0"/>
                      <v:stroke/>
                      <v:imagedata o:title=""/>
                      <o:lock v:ext="edit"/>
                      <v:textbox>
                        <w:txbxContent>
                          <w:p>
                            <w:pPr>
                              <w:jc w:val="center"/>
                            </w:pPr>
                            <w:r>
                              <w:rPr>
                                <w:rFonts w:hint="eastAsia"/>
                              </w:rPr>
                              <w:t>土地平整</w:t>
                            </w:r>
                          </w:p>
                        </w:txbxContent>
                      </v:textbox>
                    </v:rect>
                    <v:shape id="自选图形 182" o:spid="_x0000_s1165" o:spt="32" type="#_x0000_t32" style="position:absolute;left:78;top:5372;flip:y;height:6;width:0;" filled="f" coordsize="21600,21600">
                      <v:path arrowok="t"/>
                      <v:fill on="f" focussize="0,0"/>
                      <v:stroke dashstyle="dash" endarrow="block"/>
                      <v:imagedata o:title=""/>
                      <o:lock v:ext="edit"/>
                    </v:shape>
                    <v:rect id="矩形 168" o:spid="_x0000_s1166" o:spt="1" style="position:absolute;left:70;top:5367;height:5;width:16;" coordsize="21600,21600">
                      <v:path/>
                      <v:fill focussize="0,0"/>
                      <v:stroke dashstyle="dash"/>
                      <v:imagedata o:title=""/>
                      <o:lock v:ext="edit"/>
                      <v:textbox>
                        <w:txbxContent>
                          <w:p>
                            <w:pPr>
                              <w:jc w:val="center"/>
                            </w:pPr>
                            <w:r>
                              <w:rPr>
                                <w:rFonts w:hint="eastAsia"/>
                              </w:rPr>
                              <w:t>噪声、扬尘</w:t>
                            </w:r>
                          </w:p>
                        </w:txbxContent>
                      </v:textbox>
                    </v:rect>
                  </v:group>
                </v:group>
              </w:pict>
            </w: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41"/>
            </w:pPr>
          </w:p>
          <w:p>
            <w:pPr>
              <w:pStyle w:val="241"/>
              <w:jc w:val="center"/>
              <w:rPr>
                <w:rFonts w:eastAsiaTheme="minorEastAsia"/>
                <w:b/>
                <w:bCs/>
                <w:sz w:val="24"/>
                <w:szCs w:val="24"/>
              </w:rPr>
            </w:pPr>
          </w:p>
          <w:p>
            <w:pPr>
              <w:pStyle w:val="241"/>
              <w:jc w:val="center"/>
              <w:rPr>
                <w:rFonts w:eastAsiaTheme="minorEastAsia"/>
                <w:b/>
                <w:bCs/>
                <w:sz w:val="24"/>
                <w:szCs w:val="24"/>
              </w:rPr>
            </w:pPr>
          </w:p>
          <w:p>
            <w:pPr>
              <w:pStyle w:val="241"/>
              <w:jc w:val="center"/>
              <w:rPr>
                <w:rFonts w:eastAsiaTheme="minorEastAsia"/>
                <w:b/>
                <w:bCs/>
                <w:sz w:val="24"/>
                <w:szCs w:val="24"/>
              </w:rPr>
            </w:pPr>
          </w:p>
          <w:p>
            <w:pPr>
              <w:pStyle w:val="241"/>
              <w:jc w:val="center"/>
              <w:rPr>
                <w:rFonts w:eastAsiaTheme="minorEastAsia"/>
                <w:b/>
                <w:bCs/>
                <w:sz w:val="24"/>
                <w:szCs w:val="24"/>
              </w:rPr>
            </w:pPr>
          </w:p>
          <w:p>
            <w:pPr>
              <w:pStyle w:val="241"/>
              <w:jc w:val="center"/>
              <w:rPr>
                <w:rFonts w:eastAsiaTheme="minorEastAsia"/>
                <w:b/>
                <w:bCs/>
                <w:sz w:val="24"/>
                <w:szCs w:val="24"/>
              </w:rPr>
            </w:pPr>
          </w:p>
          <w:p>
            <w:pPr>
              <w:pStyle w:val="241"/>
              <w:jc w:val="center"/>
              <w:rPr>
                <w:rFonts w:eastAsiaTheme="minorEastAsia"/>
                <w:b/>
                <w:bCs/>
                <w:sz w:val="24"/>
                <w:szCs w:val="24"/>
              </w:rPr>
            </w:pPr>
            <w:r>
              <w:rPr>
                <w:rFonts w:eastAsiaTheme="minorEastAsia"/>
                <w:b/>
                <w:bCs/>
                <w:sz w:val="24"/>
                <w:szCs w:val="24"/>
              </w:rPr>
              <w:t>图5-1  施工期工艺流程及排污点示意图</w:t>
            </w:r>
          </w:p>
          <w:p>
            <w:pPr>
              <w:spacing w:line="480" w:lineRule="exact"/>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2、运营期</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项目使用的原料主要来自于外购，主要加工工艺流程如下：</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原料</w:t>
            </w:r>
            <w:r>
              <w:rPr>
                <w:rFonts w:hint="eastAsia" w:ascii="Times New Roman" w:hAnsi="Times New Roman" w:eastAsia="宋体" w:cs="Times New Roman"/>
                <w:color w:val="000000" w:themeColor="text1"/>
                <w:sz w:val="24"/>
                <w:szCs w:val="24"/>
                <w:lang w:eastAsia="zh-CN"/>
              </w:rPr>
              <w:t>库</w:t>
            </w:r>
            <w:r>
              <w:rPr>
                <w:rFonts w:hint="eastAsia" w:ascii="Times New Roman" w:hAnsi="Times New Roman" w:eastAsia="宋体" w:cs="Times New Roman"/>
                <w:color w:val="000000" w:themeColor="text1"/>
                <w:sz w:val="24"/>
                <w:szCs w:val="24"/>
              </w:rPr>
              <w:t>：项目原料通过汽车运到厂区，堆放于厂区</w:t>
            </w:r>
            <w:r>
              <w:rPr>
                <w:rFonts w:hint="eastAsia" w:ascii="Times New Roman" w:hAnsi="Times New Roman" w:eastAsia="宋体" w:cs="Times New Roman"/>
                <w:color w:val="000000" w:themeColor="text1"/>
                <w:sz w:val="24"/>
                <w:szCs w:val="24"/>
                <w:lang w:eastAsia="zh-CN"/>
              </w:rPr>
              <w:t>全封闭原料库</w:t>
            </w:r>
            <w:r>
              <w:rPr>
                <w:rFonts w:hint="eastAsia" w:cs="Times New Roman"/>
                <w:color w:val="000000" w:themeColor="text1"/>
                <w:sz w:val="24"/>
                <w:szCs w:val="24"/>
                <w:lang w:eastAsia="zh-CN"/>
              </w:rPr>
              <w:t>，</w:t>
            </w:r>
            <w:r>
              <w:rPr>
                <w:rFonts w:hint="eastAsia" w:ascii="Times New Roman" w:hAnsi="Times New Roman" w:eastAsia="宋体" w:cs="Times New Roman"/>
                <w:color w:val="000000" w:themeColor="text1"/>
                <w:sz w:val="24"/>
                <w:szCs w:val="24"/>
                <w:lang w:eastAsia="zh-CN"/>
              </w:rPr>
              <w:t>库房大门采用卷闸门或推拉门，场地硬化，喷雾抑尘</w:t>
            </w:r>
            <w:r>
              <w:rPr>
                <w:rFonts w:hint="eastAsia" w:ascii="Times New Roman" w:hAnsi="Times New Roman" w:eastAsia="宋体" w:cs="Times New Roman"/>
                <w:color w:val="000000" w:themeColor="text1"/>
                <w:sz w:val="24"/>
                <w:szCs w:val="24"/>
              </w:rPr>
              <w:t xml:space="preserve">，室内堆场几乎不产生扬尘，装卸过程中会产生少量扬尘。 </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破碎工序：</w:t>
            </w:r>
            <w:r>
              <w:rPr>
                <w:rFonts w:hint="eastAsia" w:ascii="Times New Roman" w:hAnsi="Times New Roman" w:eastAsia="宋体" w:cs="Times New Roman"/>
                <w:color w:val="000000" w:themeColor="text1"/>
                <w:sz w:val="24"/>
                <w:szCs w:val="24"/>
                <w:lang w:eastAsia="zh-CN"/>
              </w:rPr>
              <w:t>生产设备均安装至全封闭生产车间内，进料机出料口和颚式破碎机连接，由进料机封闭式传送至颚式</w:t>
            </w:r>
            <w:r>
              <w:rPr>
                <w:rFonts w:hint="eastAsia" w:ascii="Times New Roman" w:hAnsi="Times New Roman" w:eastAsia="宋体" w:cs="Times New Roman"/>
                <w:color w:val="000000" w:themeColor="text1"/>
                <w:sz w:val="24"/>
                <w:szCs w:val="24"/>
              </w:rPr>
              <w:t>破碎机</w:t>
            </w:r>
            <w:r>
              <w:rPr>
                <w:rFonts w:hint="eastAsia" w:ascii="Times New Roman" w:hAnsi="Times New Roman" w:eastAsia="宋体" w:cs="Times New Roman"/>
                <w:color w:val="000000" w:themeColor="text1"/>
                <w:sz w:val="24"/>
                <w:szCs w:val="24"/>
                <w:lang w:eastAsia="zh-CN"/>
              </w:rPr>
              <w:t>，颚式破碎机</w:t>
            </w:r>
            <w:r>
              <w:rPr>
                <w:rFonts w:hint="eastAsia" w:ascii="Times New Roman" w:hAnsi="Times New Roman" w:eastAsia="宋体" w:cs="Times New Roman"/>
                <w:color w:val="000000" w:themeColor="text1"/>
                <w:sz w:val="24"/>
                <w:szCs w:val="24"/>
              </w:rPr>
              <w:t>对原料进行粗破，</w:t>
            </w:r>
            <w:r>
              <w:rPr>
                <w:rFonts w:hint="eastAsia" w:ascii="Times New Roman" w:hAnsi="Times New Roman" w:eastAsia="宋体" w:cs="Times New Roman"/>
                <w:color w:val="000000" w:themeColor="text1"/>
                <w:sz w:val="24"/>
                <w:szCs w:val="24"/>
                <w:lang w:eastAsia="zh-CN"/>
              </w:rPr>
              <w:t>通过皮带传送至锤式</w:t>
            </w:r>
            <w:r>
              <w:rPr>
                <w:rFonts w:hint="eastAsia" w:ascii="Times New Roman" w:hAnsi="Times New Roman" w:eastAsia="宋体" w:cs="Times New Roman"/>
                <w:color w:val="000000" w:themeColor="text1"/>
                <w:sz w:val="24"/>
                <w:szCs w:val="24"/>
              </w:rPr>
              <w:t>破碎机</w:t>
            </w:r>
            <w:r>
              <w:rPr>
                <w:rFonts w:hint="eastAsia" w:ascii="Times New Roman" w:hAnsi="Times New Roman" w:eastAsia="宋体" w:cs="Times New Roman"/>
                <w:color w:val="000000" w:themeColor="text1"/>
                <w:sz w:val="24"/>
                <w:szCs w:val="24"/>
                <w:lang w:eastAsia="zh-CN"/>
              </w:rPr>
              <w:t>，锤式破碎机对石料进行细破，破碎后由皮带传送至振动筛；在颚式破碎机出料口（颚式破碎机进料口与进料机连接，进料机上方设</w:t>
            </w:r>
            <w:r>
              <w:rPr>
                <w:rFonts w:hint="eastAsia" w:ascii="Times New Roman" w:hAnsi="Times New Roman" w:eastAsia="宋体" w:cs="Times New Roman"/>
                <w:color w:val="000000" w:themeColor="text1"/>
                <w:sz w:val="24"/>
                <w:szCs w:val="24"/>
                <w:lang w:val="en-US" w:eastAsia="zh-CN"/>
              </w:rPr>
              <w:t>1套</w:t>
            </w:r>
            <w:r>
              <w:rPr>
                <w:rFonts w:hint="eastAsia" w:ascii="Times New Roman" w:hAnsi="Times New Roman" w:eastAsia="宋体" w:cs="Times New Roman"/>
                <w:color w:val="000000" w:themeColor="text1"/>
                <w:sz w:val="24"/>
                <w:szCs w:val="24"/>
                <w:lang w:eastAsia="zh-CN"/>
              </w:rPr>
              <w:t>喷雾除尘装置）、锤式破碎机进料口和出料口</w:t>
            </w:r>
            <w:r>
              <w:rPr>
                <w:rFonts w:hint="eastAsia" w:ascii="Times New Roman" w:hAnsi="Times New Roman" w:eastAsia="宋体" w:cs="Times New Roman"/>
                <w:color w:val="000000" w:themeColor="text1"/>
                <w:sz w:val="24"/>
                <w:szCs w:val="24"/>
              </w:rPr>
              <w:t xml:space="preserve">上方设置集气罩，收集的粉尘经过布袋除尘器处理后经 </w:t>
            </w:r>
            <w:r>
              <w:rPr>
                <w:rFonts w:ascii="Times New Roman" w:hAnsi="Times New Roman" w:eastAsia="宋体" w:cs="Times New Roman"/>
                <w:color w:val="000000" w:themeColor="text1"/>
                <w:sz w:val="24"/>
                <w:szCs w:val="24"/>
              </w:rPr>
              <w:t xml:space="preserve">15m </w:t>
            </w:r>
            <w:r>
              <w:rPr>
                <w:rFonts w:hint="eastAsia" w:ascii="Times New Roman" w:hAnsi="Times New Roman" w:eastAsia="宋体" w:cs="Times New Roman"/>
                <w:color w:val="000000" w:themeColor="text1"/>
                <w:sz w:val="24"/>
                <w:szCs w:val="24"/>
              </w:rPr>
              <w:t xml:space="preserve">高排气筒排放。 </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筛分工序：振动筛对原料进行分级，由密闭皮带输送至成品库；振动筛上方设置喷淋洒水装置，对砂石进行筛分过程进行降尘，大粒径的石料返回锤破机进行再加工，细料根据市场需求制成2-3cm石料。成品外售给山西宏利达工程有限公司用作建材制造，粒径</w:t>
            </w:r>
            <w:r>
              <w:rPr>
                <w:rFonts w:ascii="Arial" w:hAnsi="Arial" w:eastAsia="宋体" w:cs="Arial"/>
                <w:color w:val="000000" w:themeColor="text1"/>
                <w:sz w:val="24"/>
                <w:szCs w:val="24"/>
              </w:rPr>
              <w:t>≤</w:t>
            </w:r>
            <w:r>
              <w:rPr>
                <w:rFonts w:hint="eastAsia" w:ascii="Times New Roman" w:hAnsi="Times New Roman" w:eastAsia="宋体" w:cs="Times New Roman"/>
                <w:color w:val="000000" w:themeColor="text1"/>
                <w:sz w:val="24"/>
                <w:szCs w:val="24"/>
              </w:rPr>
              <w:t>2cm的石粉外送制砂厂用于建材制造。</w:t>
            </w:r>
          </w:p>
          <w:p>
            <w:pPr>
              <w:spacing w:line="500" w:lineRule="exact"/>
              <w:ind w:firstLine="480" w:firstLineChars="200"/>
              <w:rPr>
                <w:rFonts w:hint="eastAsia" w:ascii="Times New Roman" w:hAnsi="Times New Roman" w:eastAsia="宋体" w:cs="Times New Roman"/>
                <w:color w:val="000000" w:themeColor="text1"/>
                <w:sz w:val="24"/>
                <w:szCs w:val="24"/>
                <w:lang w:eastAsia="zh-CN"/>
              </w:rPr>
            </w:pPr>
            <w:r>
              <w:rPr>
                <w:rFonts w:hint="eastAsia" w:ascii="Times New Roman" w:hAnsi="Times New Roman" w:eastAsia="宋体" w:cs="Times New Roman"/>
                <w:color w:val="000000" w:themeColor="text1"/>
                <w:sz w:val="24"/>
                <w:szCs w:val="24"/>
                <w:lang w:eastAsia="zh-CN"/>
              </w:rPr>
              <w:t>输送转运：由全封闭式皮带传送。</w:t>
            </w:r>
          </w:p>
          <w:p>
            <w:pPr>
              <w:spacing w:line="360" w:lineRule="auto"/>
              <w:ind w:firstLine="480" w:firstLineChars="200"/>
              <w:rPr>
                <w:rFonts w:hint="eastAsia" w:ascii="Times New Roman" w:hAnsi="Times New Roman" w:eastAsia="宋体" w:cs="Times New Roman"/>
                <w:color w:val="000000" w:themeColor="text1"/>
                <w:sz w:val="24"/>
                <w:szCs w:val="24"/>
                <w:lang w:eastAsia="zh-CN"/>
              </w:rPr>
            </w:pPr>
            <w:r>
              <w:rPr>
                <w:rFonts w:hint="eastAsia" w:ascii="Times New Roman" w:hAnsi="Times New Roman" w:eastAsia="宋体" w:cs="Times New Roman"/>
                <w:color w:val="000000" w:themeColor="text1"/>
                <w:sz w:val="24"/>
                <w:szCs w:val="24"/>
                <w:lang w:eastAsia="zh-CN"/>
              </w:rPr>
              <w:t>成品库</w:t>
            </w:r>
            <w:r>
              <w:rPr>
                <w:rFonts w:hint="eastAsia" w:ascii="Times New Roman" w:hAnsi="Times New Roman" w:eastAsia="宋体" w:cs="Times New Roman"/>
                <w:color w:val="000000" w:themeColor="text1"/>
                <w:sz w:val="24"/>
                <w:szCs w:val="24"/>
              </w:rPr>
              <w:t>：项目</w:t>
            </w:r>
            <w:r>
              <w:rPr>
                <w:rFonts w:hint="eastAsia" w:ascii="Times New Roman" w:hAnsi="Times New Roman" w:eastAsia="宋体" w:cs="Times New Roman"/>
                <w:color w:val="000000" w:themeColor="text1"/>
                <w:sz w:val="24"/>
                <w:szCs w:val="24"/>
                <w:lang w:eastAsia="zh-CN"/>
              </w:rPr>
              <w:t>成品</w:t>
            </w:r>
            <w:r>
              <w:rPr>
                <w:rFonts w:hint="eastAsia" w:ascii="Times New Roman" w:hAnsi="Times New Roman" w:eastAsia="宋体" w:cs="Times New Roman"/>
                <w:color w:val="000000" w:themeColor="text1"/>
                <w:sz w:val="24"/>
                <w:szCs w:val="24"/>
              </w:rPr>
              <w:t>通过</w:t>
            </w:r>
            <w:r>
              <w:rPr>
                <w:rFonts w:hint="eastAsia" w:ascii="Times New Roman" w:hAnsi="Times New Roman" w:eastAsia="宋体" w:cs="Times New Roman"/>
                <w:color w:val="000000" w:themeColor="text1"/>
                <w:sz w:val="24"/>
                <w:szCs w:val="24"/>
                <w:lang w:eastAsia="zh-CN"/>
              </w:rPr>
              <w:t>铲车运至成品库</w:t>
            </w:r>
            <w:r>
              <w:rPr>
                <w:rFonts w:hint="eastAsia" w:ascii="Times New Roman" w:hAnsi="Times New Roman" w:eastAsia="宋体" w:cs="Times New Roman"/>
                <w:color w:val="000000" w:themeColor="text1"/>
                <w:sz w:val="24"/>
                <w:szCs w:val="24"/>
              </w:rPr>
              <w:t>，堆放于</w:t>
            </w:r>
            <w:r>
              <w:rPr>
                <w:rFonts w:hint="eastAsia" w:ascii="Times New Roman" w:hAnsi="Times New Roman" w:eastAsia="宋体" w:cs="Times New Roman"/>
                <w:color w:val="000000" w:themeColor="text1"/>
                <w:sz w:val="24"/>
                <w:szCs w:val="24"/>
                <w:lang w:eastAsia="zh-CN"/>
              </w:rPr>
              <w:t>全封闭成品库</w:t>
            </w:r>
            <w:r>
              <w:rPr>
                <w:rFonts w:hint="eastAsia" w:cs="Times New Roman"/>
                <w:color w:val="000000" w:themeColor="text1"/>
                <w:sz w:val="24"/>
                <w:szCs w:val="24"/>
                <w:lang w:eastAsia="zh-CN"/>
              </w:rPr>
              <w:t>，</w:t>
            </w:r>
            <w:r>
              <w:rPr>
                <w:rFonts w:hint="eastAsia" w:ascii="Times New Roman" w:hAnsi="Times New Roman" w:eastAsia="宋体" w:cs="Times New Roman"/>
                <w:color w:val="000000" w:themeColor="text1"/>
                <w:sz w:val="24"/>
                <w:szCs w:val="24"/>
                <w:lang w:eastAsia="zh-CN"/>
              </w:rPr>
              <w:t>库房大门采用卷闸门或推拉门，场地硬化，喷雾抑尘</w:t>
            </w:r>
            <w:r>
              <w:rPr>
                <w:rFonts w:hint="eastAsia"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lang w:eastAsia="zh-CN"/>
              </w:rPr>
              <w:t>成品库内</w:t>
            </w:r>
            <w:r>
              <w:rPr>
                <w:rFonts w:hint="eastAsia" w:ascii="Times New Roman" w:hAnsi="Times New Roman" w:eastAsia="宋体" w:cs="Times New Roman"/>
                <w:color w:val="000000" w:themeColor="text1"/>
                <w:sz w:val="24"/>
                <w:szCs w:val="24"/>
              </w:rPr>
              <w:t>几乎不产生扬尘，装卸过程中会产生少量扬尘。</w:t>
            </w:r>
          </w:p>
          <w:p>
            <w:pPr>
              <w:spacing w:line="360" w:lineRule="auto"/>
              <w:ind w:firstLine="480" w:firstLineChars="200"/>
              <w:rPr>
                <w:rFonts w:hint="eastAsia" w:ascii="Times New Roman" w:hAnsi="Times New Roman" w:cs="Times New Roman" w:eastAsiaTheme="minorEastAsia"/>
                <w:color w:val="000000" w:themeColor="text1"/>
                <w:sz w:val="24"/>
                <w:szCs w:val="24"/>
                <w:lang w:eastAsia="zh-CN"/>
              </w:rPr>
            </w:pPr>
            <w:r>
              <w:rPr>
                <w:rFonts w:hint="eastAsia" w:ascii="Times New Roman" w:hAnsi="Times New Roman" w:eastAsia="宋体" w:cs="Times New Roman"/>
                <w:color w:val="000000" w:themeColor="text1"/>
                <w:sz w:val="24"/>
                <w:szCs w:val="24"/>
                <w:lang w:eastAsia="zh-CN"/>
              </w:rPr>
              <w:t>运输：由箱式汽车或</w:t>
            </w:r>
            <w:r>
              <w:rPr>
                <w:rFonts w:ascii="Times New Roman" w:hAnsi="Times New Roman" w:cs="Times New Roman"/>
                <w:spacing w:val="4"/>
                <w:sz w:val="24"/>
                <w:szCs w:val="24"/>
              </w:rPr>
              <w:t>加盖篷布</w:t>
            </w:r>
            <w:r>
              <w:rPr>
                <w:rFonts w:hint="eastAsia" w:ascii="Times New Roman" w:hAnsi="Times New Roman" w:cs="Times New Roman"/>
                <w:spacing w:val="4"/>
                <w:sz w:val="24"/>
                <w:szCs w:val="24"/>
                <w:lang w:eastAsia="zh-CN"/>
              </w:rPr>
              <w:t>的汽车运输，进出厂区均进行车身全身清洗。</w:t>
            </w:r>
          </w:p>
          <w:p>
            <w:pPr>
              <w:pStyle w:val="241"/>
              <w:jc w:val="center"/>
              <w:rPr>
                <w:b/>
                <w:bCs/>
                <w:sz w:val="24"/>
                <w:szCs w:val="24"/>
              </w:rPr>
            </w:pPr>
            <w:r>
              <w:rPr>
                <w:sz w:val="24"/>
              </w:rPr>
              <w:pict>
                <v:rect id="_x0000_s1210" o:spid="_x0000_s1210" o:spt="1" style="position:absolute;left:0pt;margin-left:75.5pt;margin-top:0.35pt;height:25.95pt;width:47.9pt;z-index:251659264;mso-width-relative:page;mso-height-relative:page;" filled="f" stroked="f" coordsize="21600,21600">
                  <v:path/>
                  <v:fill on="f" focussize="0,0"/>
                  <v:stroke on="f"/>
                  <v:imagedata o:title=""/>
                  <o:lock v:ext="edit"/>
                  <v:textbox>
                    <w:txbxContent>
                      <w:p>
                        <w:r>
                          <w:rPr>
                            <w:rFonts w:hint="eastAsia"/>
                          </w:rPr>
                          <w:t>进料</w:t>
                        </w:r>
                      </w:p>
                    </w:txbxContent>
                  </v:textbox>
                </v:rect>
              </w:pict>
            </w:r>
            <w:r>
              <w:rPr>
                <w:sz w:val="24"/>
              </w:rPr>
              <w:pict>
                <v:group id="_x0000_s1209" o:spid="_x0000_s1209" o:spt="203" style="position:absolute;left:0pt;margin-left:0.05pt;margin-top:8.5pt;height:125.35pt;width:444.5pt;z-index:251658240;mso-width-relative:page;mso-height-relative:page;" coordorigin="2146,498432" coordsize="8890,2507">
                  <o:lock v:ext="edit"/>
                  <v:rect id="_x0000_s1186" o:spid="_x0000_s1186" o:spt="1" style="position:absolute;left:2146;top:498474;height:497;width:1604;" coordsize="21600,21600">
                    <v:path/>
                    <v:fill focussize="0,0"/>
                    <v:stroke/>
                    <v:imagedata o:title=""/>
                    <o:lock v:ext="edit"/>
                    <v:textbox>
                      <w:txbxContent>
                        <w:p>
                          <w:pPr>
                            <w:jc w:val="center"/>
                          </w:pPr>
                          <w:r>
                            <w:rPr>
                              <w:rFonts w:hint="eastAsia"/>
                            </w:rPr>
                            <w:t>原料堆场</w:t>
                          </w:r>
                        </w:p>
                      </w:txbxContent>
                    </v:textbox>
                  </v:rect>
                  <v:line id="_x0000_s1193" o:spid="_x0000_s1193" o:spt="20" style="position:absolute;left:9242;top:499025;height:646;width:1;" filled="t" coordsize="21600,21600">
                    <v:path arrowok="t"/>
                    <v:fill on="t" focussize="0,0"/>
                    <v:stroke endarrow="open"/>
                    <v:imagedata o:title=""/>
                    <o:lock v:ext="edit"/>
                  </v:line>
                  <v:rect id="_x0000_s1199" o:spid="_x0000_s1199" o:spt="1" style="position:absolute;left:6947;top:499233;height:1707;width:4039;" coordsize="21600,21600">
                    <v:path/>
                    <v:fill focussize="0,0"/>
                    <v:stroke/>
                    <v:imagedata o:title=""/>
                    <o:lock v:ext="edit"/>
                  </v:rect>
                  <v:line id="_x0000_s1201" o:spid="_x0000_s1201" o:spt="20" style="position:absolute;left:2826;top:498992;flip:x;height:427;width:243;" filled="t" coordsize="21600,21600">
                    <v:path arrowok="t"/>
                    <v:fill on="t" focussize="0,0"/>
                    <v:stroke dashstyle="dash" endarrow="open"/>
                    <v:imagedata o:title=""/>
                    <o:lock v:ext="edit"/>
                  </v:line>
                  <v:line id="_x0000_s1187" o:spid="_x0000_s1187" o:spt="20" style="position:absolute;left:3773;top:498728;height:1;width:507;" filled="t" coordsize="21600,21600">
                    <v:path arrowok="t"/>
                    <v:fill on="t" focussize="0,0"/>
                    <v:stroke endarrow="open"/>
                    <v:imagedata o:title=""/>
                    <o:lock v:ext="edit"/>
                  </v:line>
                  <v:line id="_x0000_s1194" o:spid="_x0000_s1194" o:spt="20" style="position:absolute;left:8042;top:499694;height:485;width:1;" filled="t" coordsize="21600,21600">
                    <v:path arrowok="t"/>
                    <v:fill on="t" focussize="0,0"/>
                    <v:stroke/>
                    <v:imagedata o:title=""/>
                    <o:lock v:ext="edit"/>
                  </v:line>
                  <v:line id="_x0000_s1195" o:spid="_x0000_s1195" o:spt="20" style="position:absolute;left:8042;top:499683;height:1;width:2492;" filled="t" coordsize="21600,21600">
                    <v:path arrowok="t"/>
                    <v:fill on="t" focussize="0,0"/>
                    <v:stroke/>
                    <v:imagedata o:title=""/>
                    <o:lock v:ext="edit"/>
                  </v:line>
                  <v:rect id="_x0000_s1188" o:spid="_x0000_s1188" o:spt="1" style="position:absolute;left:4278;top:498494;height:497;width:1604;" coordsize="21600,21600">
                    <v:path/>
                    <v:fill focussize="0,0"/>
                    <v:stroke/>
                    <v:imagedata o:title=""/>
                    <o:lock v:ext="edit"/>
                    <v:textbox>
                      <w:txbxContent>
                        <w:p>
                          <w:pPr>
                            <w:jc w:val="center"/>
                          </w:pPr>
                          <w:r>
                            <w:rPr>
                              <w:rFonts w:hint="eastAsia"/>
                            </w:rPr>
                            <w:t>颚式破碎机</w:t>
                          </w:r>
                        </w:p>
                      </w:txbxContent>
                    </v:textbox>
                  </v:rect>
                  <v:line id="_x0000_s1189" o:spid="_x0000_s1189" o:spt="20" style="position:absolute;left:5882;top:498726;height:1;width:507;" coordsize="21600,21600">
                    <v:path arrowok="t"/>
                    <v:fill focussize="0,0"/>
                    <v:stroke endarrow="open"/>
                    <v:imagedata o:title=""/>
                    <o:lock v:ext="edit"/>
                  </v:line>
                  <v:rect id="_x0000_s1190" o:spid="_x0000_s1190" o:spt="1" style="position:absolute;left:6375;top:498504;height:497;width:1604;" coordsize="21600,21600">
                    <v:path/>
                    <v:fill focussize="0,0"/>
                    <v:stroke/>
                    <v:imagedata o:title=""/>
                    <o:lock v:ext="edit"/>
                    <v:textbox>
                      <w:txbxContent>
                        <w:p>
                          <w:pPr>
                            <w:jc w:val="center"/>
                          </w:pPr>
                          <w:r>
                            <w:rPr>
                              <w:rFonts w:hint="eastAsia"/>
                            </w:rPr>
                            <w:t>锤式破碎机</w:t>
                          </w:r>
                        </w:p>
                      </w:txbxContent>
                    </v:textbox>
                  </v:rect>
                  <v:line id="_x0000_s1191" o:spid="_x0000_s1191" o:spt="20" style="position:absolute;left:7992;top:498736;height:1;width:507;" coordsize="21600,21600">
                    <v:path arrowok="t"/>
                    <v:fill focussize="0,0"/>
                    <v:stroke endarrow="open"/>
                    <v:imagedata o:title=""/>
                    <o:lock v:ext="edit"/>
                  </v:line>
                  <v:rect id="_x0000_s1192" o:spid="_x0000_s1192" o:spt="1" style="position:absolute;left:8507;top:498525;height:497;width:1604;" coordsize="21600,21600">
                    <v:path/>
                    <v:fill focussize="0,0"/>
                    <v:stroke/>
                    <v:imagedata o:title=""/>
                    <o:lock v:ext="edit"/>
                    <v:textbox>
                      <w:txbxContent>
                        <w:p>
                          <w:pPr>
                            <w:jc w:val="center"/>
                          </w:pPr>
                          <w:r>
                            <w:rPr>
                              <w:rFonts w:hint="eastAsia"/>
                            </w:rPr>
                            <w:t>振动筛</w:t>
                          </w:r>
                        </w:p>
                      </w:txbxContent>
                    </v:textbox>
                  </v:rect>
                  <v:line id="_x0000_s1196" o:spid="_x0000_s1196" o:spt="20" style="position:absolute;left:10521;top:499692;height:485;width:1;" coordsize="21600,21600">
                    <v:path arrowok="t"/>
                    <v:fill focussize="0,0"/>
                    <v:stroke/>
                    <v:imagedata o:title=""/>
                    <o:lock v:ext="edit"/>
                  </v:line>
                  <v:rect id="_x0000_s1197" o:spid="_x0000_s1197" o:spt="1" style="position:absolute;left:7241;top:500177;height:497;width:1604;" coordsize="21600,21600">
                    <v:path/>
                    <v:fill focussize="0,0"/>
                    <v:stroke/>
                    <v:imagedata o:title=""/>
                    <o:lock v:ext="edit"/>
                    <v:textbox>
                      <w:txbxContent>
                        <w:p>
                          <w:pPr>
                            <w:jc w:val="center"/>
                          </w:pPr>
                          <w:r>
                            <w:rPr>
                              <w:rFonts w:hint="eastAsia"/>
                            </w:rPr>
                            <w:t>2-3cm石料</w:t>
                          </w:r>
                        </w:p>
                      </w:txbxContent>
                    </v:textbox>
                  </v:rect>
                  <v:rect id="_x0000_s1198" o:spid="_x0000_s1198" o:spt="1" style="position:absolute;left:9376;top:500176;height:497;width:1604;" coordsize="21600,21600">
                    <v:path/>
                    <v:fill focussize="0,0"/>
                    <v:stroke/>
                    <v:imagedata o:title=""/>
                    <o:lock v:ext="edit"/>
                    <v:textbox>
                      <w:txbxContent>
                        <w:p>
                          <w:pPr>
                            <w:jc w:val="center"/>
                          </w:pPr>
                          <w:r>
                            <w:t>≤</w:t>
                          </w:r>
                          <w:r>
                            <w:rPr>
                              <w:rFonts w:hint="eastAsia"/>
                            </w:rPr>
                            <w:t>2cm石粉</w:t>
                          </w:r>
                        </w:p>
                      </w:txbxContent>
                    </v:textbox>
                  </v:rect>
                  <v:rect id="_x0000_s1200" o:spid="_x0000_s1200" o:spt="1" style="position:absolute;left:7020;top:499286;height:497;width:1005;" stroked="f" coordsize="21600,21600">
                    <v:path/>
                    <v:fill focussize="0,0"/>
                    <v:stroke on="f"/>
                    <v:imagedata o:title=""/>
                    <o:lock v:ext="edit"/>
                    <v:textbox>
                      <w:txbxContent>
                        <w:p>
                          <w:pPr>
                            <w:jc w:val="center"/>
                          </w:pPr>
                          <w:r>
                            <w:rPr>
                              <w:rFonts w:hint="eastAsia"/>
                            </w:rPr>
                            <w:t>成品库</w:t>
                          </w:r>
                        </w:p>
                      </w:txbxContent>
                    </v:textbox>
                  </v:rect>
                  <v:rect id="_x0000_s1202" o:spid="_x0000_s1202" o:spt="1" style="position:absolute;left:2356;top:499445;height:497;width:1005;" stroked="f" coordsize="21600,21600">
                    <v:path/>
                    <v:fill focussize="0,0"/>
                    <v:stroke on="f"/>
                    <v:imagedata o:title=""/>
                    <o:lock v:ext="edit"/>
                    <v:textbox>
                      <w:txbxContent>
                        <w:p>
                          <w:pPr>
                            <w:jc w:val="center"/>
                          </w:pPr>
                          <w:r>
                            <w:rPr>
                              <w:rFonts w:hint="eastAsia"/>
                            </w:rPr>
                            <w:t>G1</w:t>
                          </w:r>
                        </w:p>
                      </w:txbxContent>
                    </v:textbox>
                  </v:rect>
                  <v:line id="_x0000_s1203" o:spid="_x0000_s1203" o:spt="20" style="position:absolute;left:4878;top:499001;flip:x;height:427;width:243;" coordsize="21600,21600">
                    <v:path arrowok="t"/>
                    <v:fill focussize="0,0"/>
                    <v:stroke dashstyle="dash" endarrow="open"/>
                    <v:imagedata o:title=""/>
                    <o:lock v:ext="edit"/>
                  </v:line>
                  <v:rect id="_x0000_s1204" o:spid="_x0000_s1204" o:spt="1" style="position:absolute;left:4292;top:499454;height:497;width:1005;" stroked="f" coordsize="21600,21600">
                    <v:path/>
                    <v:fill focussize="0,0"/>
                    <v:stroke on="f"/>
                    <v:imagedata o:title=""/>
                    <o:lock v:ext="edit"/>
                    <v:textbox>
                      <w:txbxContent>
                        <w:p>
                          <w:pPr>
                            <w:jc w:val="center"/>
                          </w:pPr>
                          <w:r>
                            <w:rPr>
                              <w:rFonts w:hint="eastAsia"/>
                            </w:rPr>
                            <w:t>G3、N1</w:t>
                          </w:r>
                        </w:p>
                      </w:txbxContent>
                    </v:textbox>
                  </v:rect>
                  <v:line id="_x0000_s1205" o:spid="_x0000_s1205" o:spt="20" style="position:absolute;left:6479;top:499034;flip:x;height:427;width:243;" coordsize="21600,21600">
                    <v:path arrowok="t"/>
                    <v:fill focussize="0,0"/>
                    <v:stroke dashstyle="dash" endarrow="open"/>
                    <v:imagedata o:title=""/>
                    <o:lock v:ext="edit"/>
                  </v:line>
                  <v:rect id="_x0000_s1206" o:spid="_x0000_s1206" o:spt="1" style="position:absolute;left:5847;top:499463;height:497;width:1005;" stroked="f" coordsize="21600,21600">
                    <v:path/>
                    <v:fill focussize="0,0"/>
                    <v:stroke on="f"/>
                    <v:imagedata o:title=""/>
                    <o:lock v:ext="edit"/>
                    <v:textbox>
                      <w:txbxContent>
                        <w:p>
                          <w:pPr>
                            <w:jc w:val="center"/>
                          </w:pPr>
                          <w:r>
                            <w:rPr>
                              <w:rFonts w:hint="eastAsia"/>
                            </w:rPr>
                            <w:t>G4、N2</w:t>
                          </w:r>
                        </w:p>
                      </w:txbxContent>
                    </v:textbox>
                  </v:rect>
                  <v:line id="_x0000_s1207" o:spid="_x0000_s1207" o:spt="20" style="position:absolute;left:10100;top:498432;flip:y;height:92;width:323;" coordsize="21600,21600">
                    <v:path arrowok="t"/>
                    <v:fill focussize="0,0"/>
                    <v:stroke dashstyle="dash" endarrow="open"/>
                    <v:imagedata o:title=""/>
                    <o:lock v:ext="edit"/>
                  </v:line>
                  <v:rect id="_x0000_s1208" o:spid="_x0000_s1208" o:spt="1" style="position:absolute;left:10148;top:498480;height:392;width:889;" filled="f" stroked="f" coordsize="21600,21600">
                    <v:path/>
                    <v:fill on="f" focussize="0,0"/>
                    <v:stroke on="f"/>
                    <v:imagedata o:title=""/>
                    <o:lock v:ext="edit"/>
                    <v:textbox>
                      <w:txbxContent>
                        <w:p>
                          <w:pPr>
                            <w:jc w:val="center"/>
                          </w:pPr>
                          <w:r>
                            <w:rPr>
                              <w:rFonts w:hint="eastAsia"/>
                            </w:rPr>
                            <w:t>G5、N3</w:t>
                          </w:r>
                        </w:p>
                      </w:txbxContent>
                    </v:textbox>
                  </v:rect>
                </v:group>
              </w:pict>
            </w:r>
          </w:p>
          <w:p>
            <w:pPr>
              <w:pStyle w:val="241"/>
              <w:jc w:val="center"/>
              <w:rPr>
                <w:b/>
                <w:bCs/>
                <w:sz w:val="24"/>
                <w:szCs w:val="24"/>
              </w:rPr>
            </w:pPr>
          </w:p>
          <w:p>
            <w:pPr>
              <w:pStyle w:val="241"/>
              <w:jc w:val="center"/>
              <w:rPr>
                <w:b/>
                <w:bCs/>
                <w:sz w:val="24"/>
                <w:szCs w:val="24"/>
              </w:rPr>
            </w:pPr>
          </w:p>
          <w:p>
            <w:pPr>
              <w:pStyle w:val="241"/>
              <w:jc w:val="center"/>
              <w:rPr>
                <w:b/>
                <w:bCs/>
                <w:sz w:val="24"/>
                <w:szCs w:val="24"/>
              </w:rPr>
            </w:pPr>
          </w:p>
          <w:p>
            <w:pPr>
              <w:pStyle w:val="241"/>
              <w:jc w:val="center"/>
              <w:rPr>
                <w:b/>
                <w:bCs/>
                <w:sz w:val="24"/>
                <w:szCs w:val="24"/>
              </w:rPr>
            </w:pPr>
          </w:p>
          <w:p>
            <w:pPr>
              <w:pStyle w:val="241"/>
              <w:jc w:val="center"/>
              <w:rPr>
                <w:b/>
                <w:bCs/>
                <w:sz w:val="24"/>
                <w:szCs w:val="24"/>
              </w:rPr>
            </w:pPr>
          </w:p>
          <w:p>
            <w:pPr>
              <w:pStyle w:val="241"/>
              <w:jc w:val="center"/>
              <w:rPr>
                <w:b/>
                <w:bCs/>
                <w:sz w:val="24"/>
                <w:szCs w:val="24"/>
              </w:rPr>
            </w:pPr>
          </w:p>
          <w:p>
            <w:pPr>
              <w:pStyle w:val="241"/>
              <w:jc w:val="center"/>
              <w:rPr>
                <w:b/>
                <w:bCs/>
                <w:sz w:val="24"/>
                <w:szCs w:val="24"/>
              </w:rPr>
            </w:pPr>
          </w:p>
          <w:p>
            <w:pPr>
              <w:pStyle w:val="241"/>
              <w:jc w:val="center"/>
              <w:rPr>
                <w:b/>
                <w:bCs/>
                <w:sz w:val="24"/>
                <w:szCs w:val="24"/>
              </w:rPr>
            </w:pPr>
          </w:p>
          <w:p>
            <w:pPr>
              <w:pStyle w:val="241"/>
              <w:jc w:val="center"/>
              <w:rPr>
                <w:b/>
                <w:bCs/>
                <w:sz w:val="24"/>
                <w:szCs w:val="24"/>
              </w:rPr>
            </w:pPr>
            <w:r>
              <w:rPr>
                <w:b/>
                <w:bCs/>
                <w:sz w:val="24"/>
                <w:szCs w:val="24"/>
              </w:rPr>
              <w:t xml:space="preserve">图5-2   </w:t>
            </w:r>
            <w:r>
              <w:rPr>
                <w:rFonts w:hint="eastAsia"/>
                <w:b/>
                <w:bCs/>
                <w:sz w:val="24"/>
                <w:szCs w:val="24"/>
              </w:rPr>
              <w:t>生产</w:t>
            </w:r>
            <w:r>
              <w:rPr>
                <w:b/>
                <w:bCs/>
                <w:sz w:val="24"/>
                <w:szCs w:val="24"/>
              </w:rPr>
              <w:t>工艺流程及产污环节图</w:t>
            </w:r>
          </w:p>
          <w:p>
            <w:pPr>
              <w:spacing w:line="500" w:lineRule="exact"/>
              <w:rPr>
                <w:rFonts w:ascii="Times New Roman" w:hAnsi="Times New Roman" w:cs="Times New Roman"/>
                <w:b/>
                <w:bCs/>
                <w:kern w:val="10"/>
                <w:sz w:val="28"/>
                <w:szCs w:val="28"/>
              </w:rPr>
            </w:pPr>
            <w:r>
              <w:rPr>
                <w:rFonts w:ascii="Times New Roman" w:hAnsi="Times New Roman" w:cs="Times New Roman"/>
                <w:b/>
                <w:bCs/>
                <w:kern w:val="10"/>
                <w:sz w:val="28"/>
                <w:szCs w:val="28"/>
              </w:rPr>
              <w:t>主要污染因素:</w:t>
            </w:r>
          </w:p>
          <w:p>
            <w:pPr>
              <w:spacing w:line="500" w:lineRule="exact"/>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1、施工期</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（1）废气</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施工中因地面挖填和水泥、石灰等的装卸、运输过程产生的扬尘；道路施工时运送物料的汽车引起道路扬尘；物料堆放期间由于风吹等产生的扬尘；施工机械产生的废气、装修废气以及运输材料的车辆尾气，主要污染物为NO</w:t>
            </w:r>
            <w:r>
              <w:rPr>
                <w:rFonts w:hint="eastAsia" w:ascii="Times New Roman" w:hAnsi="Times New Roman" w:cs="Times New Roman"/>
                <w:kern w:val="0"/>
                <w:sz w:val="24"/>
                <w:szCs w:val="24"/>
                <w:vertAlign w:val="subscript"/>
              </w:rPr>
              <w:t>X</w:t>
            </w:r>
            <w:r>
              <w:rPr>
                <w:rFonts w:hint="eastAsia" w:ascii="Times New Roman" w:hAnsi="Times New Roman" w:cs="Times New Roman"/>
                <w:kern w:val="0"/>
                <w:sz w:val="24"/>
                <w:szCs w:val="24"/>
              </w:rPr>
              <w:t>、CO及CH等。</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（2）废水</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施工期产生的废水主要是施工机械和运输车辆的冲洗废水，以及施工人员产生的生活污水，生产废水的主要污染物为SS等；生活 污水的主要污染物为COD、BOD</w:t>
            </w:r>
            <w:r>
              <w:rPr>
                <w:rFonts w:hint="eastAsia" w:ascii="Times New Roman" w:hAnsi="Times New Roman" w:cs="Times New Roman"/>
                <w:kern w:val="0"/>
                <w:sz w:val="24"/>
                <w:szCs w:val="24"/>
                <w:vertAlign w:val="subscript"/>
              </w:rPr>
              <w:t>5</w:t>
            </w:r>
            <w:r>
              <w:rPr>
                <w:rFonts w:hint="eastAsia" w:ascii="Times New Roman" w:hAnsi="Times New Roman" w:cs="Times New Roman"/>
                <w:kern w:val="0"/>
                <w:sz w:val="24"/>
                <w:szCs w:val="24"/>
              </w:rPr>
              <w:t>和SS等。</w:t>
            </w:r>
          </w:p>
          <w:p>
            <w:pPr>
              <w:numPr>
                <w:ilvl w:val="0"/>
                <w:numId w:val="3"/>
              </w:num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噪声</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建设期间噪声来源于地基开挖、平整土地、建筑材料运输、设备安装等过程中设备产生的噪声，噪声级一般在85-100dB（A）。</w:t>
            </w:r>
          </w:p>
          <w:p>
            <w:pPr>
              <w:numPr>
                <w:ilvl w:val="0"/>
                <w:numId w:val="3"/>
              </w:num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固体废弃物</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施工期固体废弃物主要来自施工期的建筑垃圾和生活垃圾，建筑垃圾包括储棚搭建过程产生的渣土、泥土、废气的混凝土和水泥砂浆等。建筑垃圾组成以无机成分为主；生活垃圾来源于施工工作人员生活过程中遗弃的废弃物。</w:t>
            </w:r>
          </w:p>
          <w:p>
            <w:pPr>
              <w:numPr>
                <w:ilvl w:val="0"/>
                <w:numId w:val="4"/>
              </w:numPr>
              <w:spacing w:line="500" w:lineRule="exact"/>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运营期</w:t>
            </w:r>
          </w:p>
          <w:p>
            <w:pPr>
              <w:numPr>
                <w:ilvl w:val="0"/>
                <w:numId w:val="5"/>
              </w:num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大气污染源</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原料、成品堆场产生的粉尘；原料、产品装卸的粉尘；车辆运输产生的粉尘；</w:t>
            </w:r>
            <w:r>
              <w:rPr>
                <w:rFonts w:hint="eastAsia" w:ascii="Times New Roman" w:hAnsi="Times New Roman" w:cs="Times New Roman"/>
                <w:kern w:val="0"/>
                <w:sz w:val="24"/>
                <w:szCs w:val="24"/>
                <w:lang w:eastAsia="zh-CN"/>
              </w:rPr>
              <w:t>进料、</w:t>
            </w:r>
            <w:r>
              <w:rPr>
                <w:rFonts w:hint="eastAsia" w:ascii="Times New Roman" w:hAnsi="Times New Roman" w:cs="Times New Roman"/>
                <w:kern w:val="0"/>
                <w:sz w:val="24"/>
                <w:szCs w:val="24"/>
              </w:rPr>
              <w:t>破碎、筛分过程产生的粉尘。</w:t>
            </w:r>
          </w:p>
          <w:p>
            <w:pPr>
              <w:numPr>
                <w:ilvl w:val="0"/>
                <w:numId w:val="5"/>
              </w:num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废水</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本项目生产过程无生产废水产生；车辆冲洗废水经沉淀池处理后回用，不外排；生活污水。</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（3）</w:t>
            </w:r>
            <w:r>
              <w:rPr>
                <w:rFonts w:ascii="Times New Roman" w:hAnsi="Times New Roman" w:cs="Times New Roman"/>
                <w:kern w:val="0"/>
                <w:sz w:val="24"/>
                <w:szCs w:val="24"/>
              </w:rPr>
              <w:t>噪声</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项目生产过程中的噪声主要为破碎机、振动筛、铲车，噪声值在85-90dB（A）之间。</w:t>
            </w:r>
          </w:p>
          <w:p>
            <w:pPr>
              <w:spacing w:line="500" w:lineRule="exact"/>
              <w:ind w:firstLine="480" w:firstLineChars="200"/>
              <w:rPr>
                <w:rFonts w:ascii="Times New Roman" w:hAnsi="Times New Roman" w:cs="Times New Roman"/>
                <w:kern w:val="0"/>
                <w:sz w:val="24"/>
                <w:szCs w:val="24"/>
              </w:rPr>
            </w:pPr>
            <w:r>
              <w:rPr>
                <w:rFonts w:hint="eastAsia" w:ascii="Times New Roman" w:hAnsi="Times New Roman" w:cs="Times New Roman"/>
                <w:kern w:val="0"/>
                <w:sz w:val="24"/>
                <w:szCs w:val="24"/>
              </w:rPr>
              <w:t>（4）固体废物</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本项目固废主要包括员工生活垃圾</w:t>
            </w:r>
            <w:r>
              <w:rPr>
                <w:rFonts w:hint="eastAsia" w:ascii="Times New Roman" w:hAnsi="Times New Roman" w:cs="Times New Roman"/>
                <w:sz w:val="24"/>
                <w:szCs w:val="24"/>
                <w:lang w:eastAsia="zh-CN"/>
              </w:rPr>
              <w:t>和</w:t>
            </w:r>
            <w:r>
              <w:rPr>
                <w:rFonts w:hint="eastAsia" w:ascii="Times New Roman" w:hAnsi="Times New Roman" w:cs="Times New Roman"/>
                <w:sz w:val="24"/>
                <w:szCs w:val="24"/>
              </w:rPr>
              <w:t>废机油。</w:t>
            </w: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bookmarkStart w:id="7" w:name="_GoBack"/>
            <w:bookmarkEnd w:id="7"/>
          </w:p>
          <w:p>
            <w:pPr>
              <w:spacing w:line="500" w:lineRule="exact"/>
              <w:ind w:firstLine="480" w:firstLineChars="200"/>
              <w:rPr>
                <w:rFonts w:ascii="Times New Roman" w:hAnsi="Times New Roman" w:cs="Times New Roman"/>
                <w:sz w:val="24"/>
                <w:szCs w:val="24"/>
              </w:rPr>
            </w:pPr>
          </w:p>
          <w:p>
            <w:pPr>
              <w:spacing w:line="500" w:lineRule="exact"/>
              <w:ind w:firstLine="480" w:firstLineChars="200"/>
              <w:rPr>
                <w:rFonts w:ascii="Times New Roman" w:hAnsi="Times New Roman" w:cs="Times New Roman"/>
                <w:sz w:val="24"/>
                <w:szCs w:val="24"/>
              </w:rPr>
            </w:pPr>
          </w:p>
          <w:p>
            <w:pPr>
              <w:spacing w:line="500" w:lineRule="exact"/>
              <w:rPr>
                <w:rFonts w:ascii="Times New Roman" w:hAnsi="Times New Roman" w:eastAsia="宋体" w:cs="Times New Roman"/>
                <w:b/>
                <w:color w:val="000000" w:themeColor="text1"/>
                <w:sz w:val="24"/>
                <w:szCs w:val="24"/>
              </w:rPr>
            </w:pPr>
            <w:r>
              <w:rPr>
                <w:rFonts w:hint="eastAsia" w:ascii="Times New Roman" w:hAnsi="Times New Roman" w:cs="Times New Roman"/>
                <w:sz w:val="24"/>
                <w:szCs w:val="24"/>
              </w:rPr>
              <w:t>.</w:t>
            </w:r>
          </w:p>
        </w:tc>
      </w:tr>
    </w:tbl>
    <w:p>
      <w:pPr>
        <w:spacing w:line="480" w:lineRule="exact"/>
        <w:rPr>
          <w:rFonts w:ascii="Times New Roman" w:hAnsi="Times New Roman" w:eastAsia="宋体" w:cs="Times New Roman"/>
          <w:color w:val="000000" w:themeColor="text1"/>
          <w:sz w:val="24"/>
          <w:szCs w:val="24"/>
        </w:rPr>
      </w:pPr>
      <w:r>
        <w:rPr>
          <w:rFonts w:hint="eastAsia" w:ascii="Times New Roman" w:hAnsi="Times New Roman" w:eastAsia="黑体" w:cs="Times New Roman"/>
          <w:bCs/>
          <w:color w:val="000000" w:themeColor="text1"/>
          <w:sz w:val="32"/>
          <w:szCs w:val="32"/>
        </w:rPr>
        <w:t>六、</w:t>
      </w:r>
      <w:r>
        <w:rPr>
          <w:rFonts w:ascii="Times New Roman" w:hAnsi="Times New Roman" w:eastAsia="黑体" w:cs="Times New Roman"/>
          <w:bCs/>
          <w:color w:val="000000" w:themeColor="text1"/>
          <w:sz w:val="32"/>
          <w:szCs w:val="32"/>
        </w:rPr>
        <w:t>项目主要污染物产生及预计排放情况</w:t>
      </w:r>
    </w:p>
    <w:tbl>
      <w:tblPr>
        <w:tblStyle w:val="40"/>
        <w:tblW w:w="91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26"/>
        <w:gridCol w:w="1955"/>
        <w:gridCol w:w="1279"/>
        <w:gridCol w:w="1188"/>
        <w:gridCol w:w="1106"/>
        <w:gridCol w:w="1582"/>
        <w:gridCol w:w="1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726"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内容</w:t>
            </w:r>
          </w:p>
          <w:p>
            <w:pPr>
              <w:jc w:val="center"/>
              <w:rPr>
                <w:rFonts w:ascii="Times New Roman" w:hAnsi="Times New Roman" w:eastAsia="黑体" w:cs="Times New Roman"/>
                <w:bCs/>
                <w:color w:val="000000" w:themeColor="text1"/>
                <w:szCs w:val="21"/>
              </w:rPr>
            </w:pPr>
            <w:r>
              <w:rPr>
                <w:rFonts w:ascii="Times New Roman" w:hAnsi="Times New Roman" w:eastAsia="宋体" w:cs="Times New Roman"/>
                <w:b/>
                <w:bCs/>
                <w:color w:val="000000" w:themeColor="text1"/>
                <w:szCs w:val="21"/>
              </w:rPr>
              <w:t>类型</w:t>
            </w:r>
          </w:p>
        </w:tc>
        <w:tc>
          <w:tcPr>
            <w:tcW w:w="1955"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排放源</w:t>
            </w:r>
          </w:p>
        </w:tc>
        <w:tc>
          <w:tcPr>
            <w:tcW w:w="1279"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污染物</w:t>
            </w:r>
          </w:p>
          <w:p>
            <w:pPr>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名称</w:t>
            </w:r>
          </w:p>
        </w:tc>
        <w:tc>
          <w:tcPr>
            <w:tcW w:w="2294"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处理前排放情况</w:t>
            </w:r>
          </w:p>
        </w:tc>
        <w:tc>
          <w:tcPr>
            <w:tcW w:w="2866"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处理后排放情况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34" w:hRule="atLeast"/>
          <w:jc w:val="center"/>
        </w:trPr>
        <w:tc>
          <w:tcPr>
            <w:tcW w:w="726"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Times New Roman" w:hAnsi="Times New Roman" w:eastAsia="黑体" w:cs="Times New Roman"/>
                <w:bCs/>
                <w:color w:val="000000" w:themeColor="text1"/>
                <w:szCs w:val="21"/>
              </w:rPr>
            </w:pPr>
          </w:p>
        </w:tc>
        <w:tc>
          <w:tcPr>
            <w:tcW w:w="1955"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color w:val="000000" w:themeColor="text1"/>
                <w:szCs w:val="21"/>
              </w:rPr>
            </w:pPr>
          </w:p>
        </w:tc>
        <w:tc>
          <w:tcPr>
            <w:tcW w:w="127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bCs/>
                <w:color w:val="000000" w:themeColor="text1"/>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产生浓度</w:t>
            </w:r>
            <w:r>
              <w:rPr>
                <w:rFonts w:ascii="Times New Roman" w:hAnsi="Times New Roman" w:eastAsia="黑体" w:cs="Times New Roman"/>
                <w:color w:val="000000" w:themeColor="text1"/>
                <w:szCs w:val="21"/>
              </w:rPr>
              <w:t>(mg/Nm</w:t>
            </w:r>
            <w:r>
              <w:rPr>
                <w:rFonts w:ascii="Times New Roman" w:hAnsi="Times New Roman" w:eastAsia="黑体" w:cs="Times New Roman"/>
                <w:color w:val="000000" w:themeColor="text1"/>
                <w:szCs w:val="21"/>
                <w:vertAlign w:val="superscript"/>
              </w:rPr>
              <w:t>3</w:t>
            </w:r>
            <w:r>
              <w:rPr>
                <w:rFonts w:ascii="Times New Roman" w:hAnsi="Times New Roman" w:eastAsia="黑体" w:cs="Times New Roman"/>
                <w:color w:val="000000" w:themeColor="text1"/>
                <w:szCs w:val="21"/>
              </w:rPr>
              <w:t>)</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产生量</w:t>
            </w:r>
            <w:r>
              <w:rPr>
                <w:rFonts w:ascii="Times New Roman" w:hAnsi="Times New Roman" w:eastAsia="黑体" w:cs="Times New Roman"/>
                <w:color w:val="000000" w:themeColor="text1"/>
                <w:szCs w:val="21"/>
              </w:rPr>
              <w:t>（t/a）</w:t>
            </w:r>
          </w:p>
        </w:tc>
        <w:tc>
          <w:tcPr>
            <w:tcW w:w="15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排放浓度</w:t>
            </w:r>
            <w:r>
              <w:rPr>
                <w:rFonts w:ascii="Times New Roman" w:hAnsi="Times New Roman" w:eastAsia="黑体" w:cs="Times New Roman"/>
                <w:color w:val="000000" w:themeColor="text1"/>
                <w:szCs w:val="21"/>
              </w:rPr>
              <w:t>(mg/Nm</w:t>
            </w:r>
            <w:r>
              <w:rPr>
                <w:rFonts w:ascii="Times New Roman" w:hAnsi="Times New Roman" w:eastAsia="黑体" w:cs="Times New Roman"/>
                <w:color w:val="000000" w:themeColor="text1"/>
                <w:szCs w:val="21"/>
                <w:vertAlign w:val="superscript"/>
              </w:rPr>
              <w:t>3</w:t>
            </w:r>
            <w:r>
              <w:rPr>
                <w:rFonts w:ascii="Times New Roman" w:hAnsi="Times New Roman" w:eastAsia="黑体" w:cs="Times New Roman"/>
                <w:color w:val="000000" w:themeColor="text1"/>
                <w:szCs w:val="21"/>
              </w:rPr>
              <w:t>)</w:t>
            </w:r>
          </w:p>
        </w:tc>
        <w:tc>
          <w:tcPr>
            <w:tcW w:w="1284"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排放量</w:t>
            </w:r>
            <w:r>
              <w:rPr>
                <w:rFonts w:ascii="Times New Roman" w:hAnsi="Times New Roman" w:eastAsia="黑体" w:cs="Times New Roman"/>
                <w:color w:val="000000" w:themeColor="text1"/>
                <w:szCs w:val="21"/>
              </w:rPr>
              <w:t>（t/a）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2" w:hRule="atLeast"/>
          <w:jc w:val="center"/>
        </w:trPr>
        <w:tc>
          <w:tcPr>
            <w:tcW w:w="726" w:type="dxa"/>
            <w:vMerge w:val="restart"/>
            <w:tcBorders>
              <w:top w:val="single" w:color="auto" w:sz="4" w:space="0"/>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大气</w:t>
            </w:r>
          </w:p>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污染</w:t>
            </w:r>
          </w:p>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物</w:t>
            </w: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cs="Times New Roman"/>
                <w:szCs w:val="21"/>
              </w:rPr>
              <w:t>原料库</w:t>
            </w:r>
          </w:p>
        </w:tc>
        <w:tc>
          <w:tcPr>
            <w:tcW w:w="1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333333"/>
                <w:szCs w:val="21"/>
              </w:rPr>
              <w:t>面源</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333333"/>
                <w:szCs w:val="21"/>
              </w:rPr>
              <w:t>15.38</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333333"/>
                <w:szCs w:val="21"/>
              </w:rPr>
              <w:t>面源</w:t>
            </w:r>
          </w:p>
        </w:tc>
        <w:tc>
          <w:tcPr>
            <w:tcW w:w="1284"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Times New Roman" w:hAnsi="Times New Roman" w:eastAsia="宋体" w:cs="Times New Roman"/>
                <w:color w:val="000000" w:themeColor="text1"/>
                <w:szCs w:val="21"/>
                <w:lang w:eastAsia="zh-CN"/>
              </w:rPr>
            </w:pPr>
            <w:r>
              <w:rPr>
                <w:rFonts w:hint="eastAsia" w:ascii="Times New Roman" w:hAnsi="Times New Roman" w:eastAsia="宋体" w:cs="Times New Roman"/>
                <w:color w:val="333333"/>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55" w:hRule="atLeast"/>
          <w:jc w:val="center"/>
        </w:trPr>
        <w:tc>
          <w:tcPr>
            <w:tcW w:w="726" w:type="dxa"/>
            <w:vMerge w:val="continue"/>
            <w:tcBorders>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p>
        </w:tc>
        <w:tc>
          <w:tcPr>
            <w:tcW w:w="195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破碎、筛分</w:t>
            </w:r>
          </w:p>
        </w:tc>
        <w:tc>
          <w:tcPr>
            <w:tcW w:w="1279"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333333"/>
                <w:szCs w:val="21"/>
              </w:rPr>
            </w:pPr>
            <w:r>
              <w:rPr>
                <w:rFonts w:hint="eastAsia" w:ascii="Times New Roman" w:hAnsi="Times New Roman" w:eastAsia="宋体" w:cs="Times New Roman"/>
                <w:color w:val="333333"/>
                <w:szCs w:val="21"/>
              </w:rPr>
              <w:t>3000</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333333"/>
                <w:szCs w:val="21"/>
                <w:lang w:val="en-US" w:eastAsia="zh-CN"/>
              </w:rPr>
            </w:pPr>
            <w:r>
              <w:rPr>
                <w:rFonts w:hint="eastAsia" w:ascii="Times New Roman" w:hAnsi="Times New Roman" w:eastAsia="宋体" w:cs="Times New Roman"/>
                <w:color w:val="333333"/>
                <w:szCs w:val="21"/>
                <w:lang w:val="en-US" w:eastAsia="zh-CN"/>
              </w:rPr>
              <w:t>216</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333333"/>
                <w:szCs w:val="21"/>
              </w:rPr>
            </w:pPr>
            <w:r>
              <w:rPr>
                <w:rFonts w:hint="eastAsia" w:ascii="Times New Roman" w:hAnsi="Times New Roman" w:eastAsia="宋体" w:cs="Times New Roman"/>
                <w:color w:val="333333"/>
                <w:szCs w:val="21"/>
              </w:rPr>
              <w:t>20</w:t>
            </w:r>
          </w:p>
        </w:tc>
        <w:tc>
          <w:tcPr>
            <w:tcW w:w="1284"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color w:val="333333"/>
                <w:szCs w:val="21"/>
              </w:rPr>
            </w:pPr>
            <w:r>
              <w:rPr>
                <w:rFonts w:hint="eastAsia" w:ascii="Times New Roman" w:hAnsi="Times New Roman" w:cs="Times New Roman"/>
                <w:kern w:val="0"/>
                <w:szCs w:val="21"/>
                <w:lang w:val="en-US" w:eastAsia="zh-CN"/>
              </w:rPr>
              <w:t>1.44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28" w:hRule="atLeast"/>
          <w:jc w:val="center"/>
        </w:trPr>
        <w:tc>
          <w:tcPr>
            <w:tcW w:w="726" w:type="dxa"/>
            <w:vMerge w:val="continue"/>
            <w:tcBorders>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p>
        </w:tc>
        <w:tc>
          <w:tcPr>
            <w:tcW w:w="1955"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p>
        </w:tc>
        <w:tc>
          <w:tcPr>
            <w:tcW w:w="1279"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333333"/>
                <w:szCs w:val="21"/>
              </w:rPr>
            </w:pPr>
            <w:r>
              <w:rPr>
                <w:rFonts w:hint="eastAsia" w:ascii="Times New Roman" w:hAnsi="Times New Roman" w:eastAsia="宋体" w:cs="Times New Roman"/>
                <w:color w:val="333333"/>
                <w:szCs w:val="21"/>
              </w:rPr>
              <w:t>面源</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333333"/>
                <w:szCs w:val="21"/>
                <w:lang w:val="en-US" w:eastAsia="zh-CN"/>
              </w:rPr>
            </w:pPr>
            <w:r>
              <w:rPr>
                <w:rFonts w:hint="eastAsia" w:ascii="Times New Roman" w:hAnsi="Times New Roman" w:eastAsia="宋体" w:cs="Times New Roman"/>
                <w:color w:val="333333"/>
                <w:szCs w:val="21"/>
                <w:lang w:val="en-US" w:eastAsia="zh-CN"/>
              </w:rPr>
              <w:t>24</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333333"/>
                <w:szCs w:val="21"/>
              </w:rPr>
            </w:pPr>
            <w:r>
              <w:rPr>
                <w:rFonts w:hint="eastAsia" w:ascii="Times New Roman" w:hAnsi="Times New Roman" w:eastAsia="宋体" w:cs="Times New Roman"/>
                <w:color w:val="333333"/>
                <w:szCs w:val="21"/>
              </w:rPr>
              <w:t>面源</w:t>
            </w:r>
          </w:p>
        </w:tc>
        <w:tc>
          <w:tcPr>
            <w:tcW w:w="1284" w:type="dxa"/>
            <w:tcBorders>
              <w:top w:val="single" w:color="auto" w:sz="4" w:space="0"/>
              <w:left w:val="single" w:color="auto" w:sz="4" w:space="0"/>
              <w:bottom w:val="single" w:color="auto" w:sz="4" w:space="0"/>
              <w:right w:val="single" w:color="auto" w:sz="12" w:space="0"/>
            </w:tcBorders>
            <w:vAlign w:val="center"/>
          </w:tcPr>
          <w:p>
            <w:pPr>
              <w:jc w:val="center"/>
              <w:rPr>
                <w:rFonts w:hint="default" w:ascii="Times New Roman" w:hAnsi="Times New Roman" w:eastAsia="宋体" w:cs="Times New Roman"/>
                <w:color w:val="333333"/>
                <w:szCs w:val="21"/>
                <w:lang w:val="en-US" w:eastAsia="zh-CN"/>
              </w:rPr>
            </w:pPr>
            <w:r>
              <w:rPr>
                <w:rFonts w:hint="eastAsia" w:ascii="Times New Roman" w:hAnsi="Times New Roman" w:eastAsia="宋体" w:cs="Times New Roman"/>
                <w:color w:val="333333"/>
                <w:szCs w:val="21"/>
                <w:lang w:val="en-US" w:eastAsia="zh-CN"/>
              </w:rPr>
              <w:t>0.24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2" w:hRule="atLeast"/>
          <w:jc w:val="center"/>
        </w:trPr>
        <w:tc>
          <w:tcPr>
            <w:tcW w:w="726" w:type="dxa"/>
            <w:vMerge w:val="continue"/>
            <w:tcBorders>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333333"/>
                <w:szCs w:val="21"/>
              </w:rPr>
            </w:pPr>
            <w:r>
              <w:rPr>
                <w:rFonts w:hint="eastAsia" w:ascii="Times New Roman" w:hAnsi="Times New Roman" w:cs="Times New Roman"/>
                <w:szCs w:val="21"/>
              </w:rPr>
              <w:t>成品库</w:t>
            </w:r>
          </w:p>
        </w:tc>
        <w:tc>
          <w:tcPr>
            <w:tcW w:w="1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333333"/>
                <w:szCs w:val="21"/>
              </w:rPr>
            </w:pPr>
            <w:r>
              <w:rPr>
                <w:rFonts w:hint="eastAsia" w:ascii="Times New Roman" w:hAnsi="Times New Roman" w:eastAsia="宋体" w:cs="Times New Roman"/>
                <w:color w:val="333333"/>
                <w:szCs w:val="21"/>
              </w:rPr>
              <w:t>面源</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333333"/>
                <w:szCs w:val="21"/>
              </w:rPr>
            </w:pPr>
            <w:r>
              <w:rPr>
                <w:rFonts w:hint="eastAsia" w:ascii="Times New Roman" w:hAnsi="Times New Roman" w:eastAsia="宋体" w:cs="Times New Roman"/>
                <w:color w:val="333333"/>
                <w:szCs w:val="21"/>
              </w:rPr>
              <w:t>15.38</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333333"/>
                <w:szCs w:val="21"/>
              </w:rPr>
            </w:pPr>
            <w:r>
              <w:rPr>
                <w:rFonts w:hint="eastAsia" w:ascii="Times New Roman" w:hAnsi="Times New Roman" w:eastAsia="宋体" w:cs="Times New Roman"/>
                <w:color w:val="333333"/>
                <w:szCs w:val="21"/>
              </w:rPr>
              <w:t>面源</w:t>
            </w:r>
          </w:p>
        </w:tc>
        <w:tc>
          <w:tcPr>
            <w:tcW w:w="1284"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Times New Roman" w:hAnsi="Times New Roman" w:eastAsia="宋体" w:cs="Times New Roman"/>
                <w:color w:val="333333"/>
                <w:szCs w:val="21"/>
                <w:lang w:eastAsia="zh-CN"/>
              </w:rPr>
            </w:pPr>
            <w:r>
              <w:rPr>
                <w:rFonts w:hint="eastAsia" w:ascii="Times New Roman" w:hAnsi="Times New Roman" w:eastAsia="宋体" w:cs="Times New Roman"/>
                <w:color w:val="333333"/>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3" w:hRule="atLeast"/>
          <w:jc w:val="center"/>
        </w:trPr>
        <w:tc>
          <w:tcPr>
            <w:tcW w:w="726" w:type="dxa"/>
            <w:vMerge w:val="continue"/>
            <w:tcBorders>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运输扬尘</w:t>
            </w:r>
          </w:p>
        </w:tc>
        <w:tc>
          <w:tcPr>
            <w:tcW w:w="1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11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333333"/>
                <w:szCs w:val="21"/>
              </w:rPr>
            </w:pPr>
            <w:r>
              <w:rPr>
                <w:rFonts w:ascii="Times New Roman" w:hAnsi="Times New Roman" w:eastAsia="宋体" w:cs="Times New Roman"/>
                <w:color w:val="000000" w:themeColor="text1"/>
                <w:szCs w:val="21"/>
              </w:rPr>
              <w:t>面源</w:t>
            </w:r>
          </w:p>
        </w:tc>
        <w:tc>
          <w:tcPr>
            <w:tcW w:w="11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333333"/>
                <w:szCs w:val="21"/>
              </w:rPr>
            </w:pPr>
            <w:r>
              <w:rPr>
                <w:rFonts w:hint="eastAsia" w:ascii="Times New Roman" w:hAnsi="Times New Roman" w:eastAsia="宋体" w:cs="Times New Roman"/>
                <w:color w:val="000000" w:themeColor="text1"/>
                <w:szCs w:val="21"/>
              </w:rPr>
              <w:t>0.35</w:t>
            </w:r>
          </w:p>
        </w:tc>
        <w:tc>
          <w:tcPr>
            <w:tcW w:w="1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333333"/>
                <w:szCs w:val="21"/>
              </w:rPr>
            </w:pPr>
            <w:r>
              <w:rPr>
                <w:rFonts w:ascii="Times New Roman" w:hAnsi="Times New Roman" w:eastAsia="宋体" w:cs="Times New Roman"/>
                <w:color w:val="000000" w:themeColor="text1"/>
                <w:szCs w:val="21"/>
              </w:rPr>
              <w:t>面源</w:t>
            </w:r>
          </w:p>
        </w:tc>
        <w:tc>
          <w:tcPr>
            <w:tcW w:w="1284"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Times New Roman" w:hAnsi="Times New Roman" w:eastAsia="宋体" w:cs="Times New Roman"/>
                <w:color w:val="333333"/>
                <w:szCs w:val="21"/>
              </w:rPr>
            </w:pPr>
            <w:r>
              <w:rPr>
                <w:rFonts w:hint="eastAsia" w:ascii="Times New Roman" w:hAnsi="Times New Roman" w:eastAsia="宋体" w:cs="Times New Roman"/>
                <w:color w:val="000000" w:themeColor="text1"/>
                <w:szCs w:val="21"/>
              </w:rPr>
              <w:t>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3" w:hRule="atLeast"/>
          <w:jc w:val="center"/>
        </w:trPr>
        <w:tc>
          <w:tcPr>
            <w:tcW w:w="726" w:type="dxa"/>
            <w:vMerge w:val="restart"/>
            <w:tcBorders>
              <w:top w:val="single" w:color="auto" w:sz="4" w:space="0"/>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水污</w:t>
            </w:r>
          </w:p>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染物</w:t>
            </w:r>
          </w:p>
        </w:tc>
        <w:tc>
          <w:tcPr>
            <w:tcW w:w="1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vertAlign w:val="subscript"/>
              </w:rPr>
            </w:pPr>
            <w:r>
              <w:rPr>
                <w:rFonts w:ascii="Times New Roman" w:hAnsi="Times New Roman" w:eastAsia="宋体" w:cs="Times New Roman"/>
                <w:color w:val="000000" w:themeColor="text1"/>
                <w:szCs w:val="21"/>
              </w:rPr>
              <w:t>生活污水</w:t>
            </w:r>
          </w:p>
        </w:tc>
        <w:tc>
          <w:tcPr>
            <w:tcW w:w="1279"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CODcr、BOD</w:t>
            </w:r>
            <w:r>
              <w:rPr>
                <w:rFonts w:ascii="Times New Roman" w:hAnsi="Times New Roman" w:eastAsia="宋体" w:cs="Times New Roman"/>
                <w:color w:val="000000" w:themeColor="text1"/>
                <w:szCs w:val="21"/>
                <w:vertAlign w:val="subscript"/>
              </w:rPr>
              <w:t>5</w:t>
            </w:r>
            <w:r>
              <w:rPr>
                <w:rFonts w:ascii="Times New Roman" w:hAnsi="Times New Roman" w:eastAsia="宋体" w:cs="Times New Roman"/>
                <w:color w:val="000000" w:themeColor="text1"/>
                <w:szCs w:val="21"/>
              </w:rPr>
              <w:t>、SS</w:t>
            </w:r>
          </w:p>
        </w:tc>
        <w:tc>
          <w:tcPr>
            <w:tcW w:w="2294" w:type="dxa"/>
            <w:gridSpan w:val="2"/>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bCs/>
                <w:color w:val="000000" w:themeColor="text1"/>
                <w:szCs w:val="21"/>
              </w:rPr>
              <w:t>93.6</w:t>
            </w:r>
            <w:r>
              <w:rPr>
                <w:rFonts w:ascii="Times New Roman" w:hAnsi="Times New Roman" w:eastAsia="宋体" w:cs="Times New Roman"/>
                <w:bCs/>
                <w:color w:val="000000" w:themeColor="text1"/>
                <w:szCs w:val="21"/>
              </w:rPr>
              <w:t>m</w:t>
            </w:r>
            <w:r>
              <w:rPr>
                <w:rFonts w:ascii="Times New Roman" w:hAnsi="Times New Roman" w:eastAsia="宋体" w:cs="Times New Roman"/>
                <w:bCs/>
                <w:color w:val="000000" w:themeColor="text1"/>
                <w:szCs w:val="21"/>
                <w:vertAlign w:val="superscript"/>
              </w:rPr>
              <w:t>3</w:t>
            </w:r>
            <w:r>
              <w:rPr>
                <w:rFonts w:ascii="Times New Roman" w:hAnsi="Times New Roman" w:eastAsia="宋体" w:cs="Times New Roman"/>
                <w:bCs/>
                <w:color w:val="000000" w:themeColor="text1"/>
                <w:szCs w:val="21"/>
              </w:rPr>
              <w:t>/a</w:t>
            </w:r>
          </w:p>
        </w:tc>
        <w:tc>
          <w:tcPr>
            <w:tcW w:w="2866"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1" w:hRule="atLeast"/>
          <w:jc w:val="center"/>
        </w:trPr>
        <w:tc>
          <w:tcPr>
            <w:tcW w:w="726" w:type="dxa"/>
            <w:vMerge w:val="continue"/>
            <w:tcBorders>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p>
        </w:tc>
        <w:tc>
          <w:tcPr>
            <w:tcW w:w="19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洗车废水</w:t>
            </w:r>
          </w:p>
        </w:tc>
        <w:tc>
          <w:tcPr>
            <w:tcW w:w="1279"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SS</w:t>
            </w:r>
          </w:p>
        </w:tc>
        <w:tc>
          <w:tcPr>
            <w:tcW w:w="2294" w:type="dxa"/>
            <w:gridSpan w:val="2"/>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宋体" w:cs="Times New Roman"/>
                <w:bCs/>
                <w:color w:val="000000" w:themeColor="text1"/>
                <w:szCs w:val="24"/>
              </w:rPr>
            </w:pPr>
            <w:r>
              <w:rPr>
                <w:rFonts w:hint="eastAsia" w:ascii="Times New Roman" w:hAnsi="Times New Roman" w:eastAsia="宋体" w:cs="Times New Roman"/>
                <w:bCs/>
                <w:color w:val="000000" w:themeColor="text1"/>
                <w:szCs w:val="21"/>
              </w:rPr>
              <w:t>59.4</w:t>
            </w:r>
            <w:r>
              <w:rPr>
                <w:rFonts w:ascii="Times New Roman" w:hAnsi="Times New Roman" w:eastAsia="宋体" w:cs="Times New Roman"/>
                <w:bCs/>
                <w:color w:val="000000" w:themeColor="text1"/>
                <w:szCs w:val="21"/>
              </w:rPr>
              <w:t>m</w:t>
            </w:r>
            <w:r>
              <w:rPr>
                <w:rFonts w:ascii="Times New Roman" w:hAnsi="Times New Roman" w:eastAsia="宋体" w:cs="Times New Roman"/>
                <w:bCs/>
                <w:color w:val="000000" w:themeColor="text1"/>
                <w:szCs w:val="21"/>
                <w:vertAlign w:val="superscript"/>
              </w:rPr>
              <w:t>3</w:t>
            </w:r>
            <w:r>
              <w:rPr>
                <w:rFonts w:ascii="Times New Roman" w:hAnsi="Times New Roman" w:eastAsia="宋体" w:cs="Times New Roman"/>
                <w:bCs/>
                <w:color w:val="000000" w:themeColor="text1"/>
                <w:szCs w:val="21"/>
              </w:rPr>
              <w:t>/a</w:t>
            </w:r>
          </w:p>
        </w:tc>
        <w:tc>
          <w:tcPr>
            <w:tcW w:w="2866" w:type="dxa"/>
            <w:gridSpan w:val="2"/>
            <w:tcBorders>
              <w:top w:val="single" w:color="auto" w:sz="4" w:space="0"/>
              <w:left w:val="single" w:color="auto" w:sz="4" w:space="0"/>
              <w:right w:val="single" w:color="auto" w:sz="12" w:space="0"/>
            </w:tcBorders>
            <w:vAlign w:val="center"/>
          </w:tcPr>
          <w:p>
            <w:pPr>
              <w:spacing w:line="440" w:lineRule="exact"/>
              <w:jc w:val="center"/>
              <w:rPr>
                <w:rFonts w:ascii="Times New Roman" w:hAnsi="Times New Roman" w:eastAsia="宋体" w:cs="Times New Roman"/>
                <w:bCs/>
                <w:color w:val="000000" w:themeColor="text1"/>
                <w:szCs w:val="24"/>
              </w:rPr>
            </w:pPr>
            <w:r>
              <w:rPr>
                <w:rFonts w:hint="eastAsia" w:ascii="Times New Roman" w:hAnsi="Times New Roman" w:eastAsia="宋体" w:cs="Times New Roman"/>
                <w:bCs/>
                <w:color w:val="000000" w:themeColor="text1"/>
                <w:szCs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1" w:hRule="atLeast"/>
          <w:jc w:val="center"/>
        </w:trPr>
        <w:tc>
          <w:tcPr>
            <w:tcW w:w="726" w:type="dxa"/>
            <w:vMerge w:val="continue"/>
            <w:tcBorders>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p>
        </w:tc>
        <w:tc>
          <w:tcPr>
            <w:tcW w:w="19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初期雨水收集池</w:t>
            </w:r>
          </w:p>
        </w:tc>
        <w:tc>
          <w:tcPr>
            <w:tcW w:w="1279"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SS</w:t>
            </w:r>
          </w:p>
        </w:tc>
        <w:tc>
          <w:tcPr>
            <w:tcW w:w="2294" w:type="dxa"/>
            <w:gridSpan w:val="2"/>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宋体" w:cs="Times New Roman"/>
                <w:bCs/>
                <w:color w:val="000000" w:themeColor="text1"/>
                <w:szCs w:val="21"/>
              </w:rPr>
            </w:pPr>
            <w:r>
              <w:rPr>
                <w:rFonts w:hint="eastAsia" w:ascii="Times New Roman" w:hAnsi="Times New Roman" w:eastAsia="宋体" w:cs="Times New Roman"/>
                <w:bCs/>
                <w:color w:val="000000" w:themeColor="text1"/>
                <w:szCs w:val="24"/>
              </w:rPr>
              <w:t>/</w:t>
            </w:r>
          </w:p>
        </w:tc>
        <w:tc>
          <w:tcPr>
            <w:tcW w:w="2866" w:type="dxa"/>
            <w:gridSpan w:val="2"/>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726" w:type="dxa"/>
            <w:vMerge w:val="restart"/>
            <w:tcBorders>
              <w:top w:val="single" w:color="auto" w:sz="4" w:space="0"/>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固体</w:t>
            </w:r>
          </w:p>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废物</w:t>
            </w: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szCs w:val="21"/>
              </w:rPr>
              <w:t>生活系统</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szCs w:val="21"/>
              </w:rPr>
              <w:t>生活垃圾</w:t>
            </w:r>
          </w:p>
        </w:tc>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1.95</w:t>
            </w:r>
            <w:r>
              <w:rPr>
                <w:rFonts w:ascii="Times New Roman" w:hAnsi="Times New Roman" w:eastAsia="宋体" w:cs="Times New Roman"/>
                <w:color w:val="000000" w:themeColor="text1"/>
                <w:szCs w:val="21"/>
              </w:rPr>
              <w:t>t/a</w:t>
            </w:r>
          </w:p>
        </w:tc>
        <w:tc>
          <w:tcPr>
            <w:tcW w:w="2866"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726" w:type="dxa"/>
            <w:vMerge w:val="continue"/>
            <w:tcBorders>
              <w:top w:val="single" w:color="auto" w:sz="4" w:space="0"/>
              <w:left w:val="single" w:color="auto" w:sz="12" w:space="0"/>
              <w:right w:val="single" w:color="auto" w:sz="4" w:space="0"/>
            </w:tcBorders>
            <w:vAlign w:val="center"/>
          </w:tcPr>
          <w:p>
            <w:pPr>
              <w:jc w:val="center"/>
              <w:rPr>
                <w:rFonts w:ascii="Times New Roman" w:hAnsi="Times New Roman" w:eastAsia="宋体" w:cs="Times New Roman"/>
                <w:color w:val="000000" w:themeColor="text1"/>
                <w:szCs w:val="21"/>
              </w:rPr>
            </w:pP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rFonts w:hint="eastAsia"/>
                <w:szCs w:val="21"/>
              </w:rPr>
              <w:t>生产</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rFonts w:hint="eastAsia"/>
                <w:szCs w:val="21"/>
              </w:rPr>
              <w:t>废矿物油</w:t>
            </w:r>
          </w:p>
        </w:tc>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0.1</w:t>
            </w:r>
            <w:r>
              <w:rPr>
                <w:rFonts w:ascii="Times New Roman" w:hAnsi="Times New Roman" w:eastAsia="宋体" w:cs="Times New Roman"/>
                <w:color w:val="000000" w:themeColor="text1"/>
                <w:szCs w:val="21"/>
              </w:rPr>
              <w:t>t/a</w:t>
            </w:r>
          </w:p>
        </w:tc>
        <w:tc>
          <w:tcPr>
            <w:tcW w:w="2866"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3" w:hRule="atLeast"/>
          <w:jc w:val="center"/>
        </w:trPr>
        <w:tc>
          <w:tcPr>
            <w:tcW w:w="7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噪声</w:t>
            </w:r>
          </w:p>
        </w:tc>
        <w:tc>
          <w:tcPr>
            <w:tcW w:w="8394" w:type="dxa"/>
            <w:gridSpan w:val="6"/>
            <w:tcBorders>
              <w:top w:val="single" w:color="auto" w:sz="4" w:space="0"/>
              <w:left w:val="single" w:color="auto" w:sz="4" w:space="0"/>
              <w:bottom w:val="single" w:color="auto" w:sz="4" w:space="0"/>
              <w:right w:val="single" w:color="auto" w:sz="12" w:space="0"/>
            </w:tcBorders>
            <w:tcMar>
              <w:top w:w="0" w:type="dxa"/>
              <w:left w:w="57" w:type="dxa"/>
              <w:bottom w:w="0" w:type="dxa"/>
              <w:right w:w="57" w:type="dxa"/>
            </w:tcMar>
            <w:vAlign w:val="center"/>
          </w:tcPr>
          <w:p>
            <w:pPr>
              <w:spacing w:line="400" w:lineRule="exact"/>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产生噪声的主要设备为</w:t>
            </w:r>
            <w:r>
              <w:rPr>
                <w:rFonts w:hint="eastAsia" w:ascii="Times New Roman" w:hAnsi="Times New Roman" w:eastAsia="宋体" w:cs="Times New Roman"/>
                <w:color w:val="000000" w:themeColor="text1"/>
                <w:szCs w:val="21"/>
              </w:rPr>
              <w:t>生产设备、运输车辆</w:t>
            </w:r>
            <w:r>
              <w:rPr>
                <w:rFonts w:ascii="Times New Roman" w:hAnsi="Times New Roman" w:eastAsia="宋体" w:cs="Times New Roman"/>
                <w:color w:val="000000" w:themeColor="text1"/>
                <w:szCs w:val="21"/>
              </w:rPr>
              <w:t>等。上述设备的声压级为</w:t>
            </w:r>
            <w:r>
              <w:rPr>
                <w:rFonts w:hint="eastAsia" w:ascii="Times New Roman" w:hAnsi="Times New Roman" w:eastAsia="宋体" w:cs="Times New Roman"/>
                <w:color w:val="000000" w:themeColor="text1"/>
                <w:szCs w:val="21"/>
              </w:rPr>
              <w:t>80</w:t>
            </w: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100</w:t>
            </w:r>
            <w:r>
              <w:rPr>
                <w:rFonts w:ascii="Times New Roman" w:hAnsi="Times New Roman" w:eastAsia="宋体" w:cs="Times New Roman"/>
                <w:color w:val="000000" w:themeColor="text1"/>
                <w:szCs w:val="21"/>
              </w:rPr>
              <w:t>dB(A)。经消声、隔声、减振后，可降低15dB(A)左右。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29" w:hRule="atLeast"/>
          <w:jc w:val="center"/>
        </w:trPr>
        <w:tc>
          <w:tcPr>
            <w:tcW w:w="9120" w:type="dxa"/>
            <w:gridSpan w:val="7"/>
            <w:tcBorders>
              <w:top w:val="single" w:color="auto" w:sz="4" w:space="0"/>
              <w:left w:val="single" w:color="auto" w:sz="12" w:space="0"/>
              <w:bottom w:val="single" w:color="auto" w:sz="12" w:space="0"/>
              <w:right w:val="single" w:color="auto" w:sz="12" w:space="0"/>
            </w:tcBorders>
            <w:tcMar>
              <w:top w:w="0" w:type="dxa"/>
              <w:left w:w="113" w:type="dxa"/>
              <w:bottom w:w="0" w:type="dxa"/>
              <w:right w:w="113" w:type="dxa"/>
            </w:tcMar>
          </w:tcPr>
          <w:p>
            <w:pPr>
              <w:spacing w:line="500" w:lineRule="exact"/>
              <w:rPr>
                <w:rFonts w:ascii="Times New Roman" w:hAnsi="Times New Roman" w:eastAsia="黑体" w:cs="Times New Roman"/>
                <w:bCs/>
                <w:color w:val="000000" w:themeColor="text1"/>
                <w:sz w:val="30"/>
                <w:szCs w:val="30"/>
              </w:rPr>
            </w:pPr>
            <w:r>
              <w:rPr>
                <w:rFonts w:ascii="Times New Roman" w:hAnsi="Times New Roman" w:eastAsia="黑体" w:cs="Times New Roman"/>
                <w:bCs/>
                <w:color w:val="000000" w:themeColor="text1"/>
                <w:sz w:val="30"/>
                <w:szCs w:val="30"/>
              </w:rPr>
              <w:t>主要生态影响（不够时可附另页）</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本项目为新建项目，租赁场地进行建设，不占用基本农田。项目的生态影响主要为污染型生态影响，体现在粉尘对农作物的影响。对农作物的影响如下：</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生产过程产生的粉尘对植物的影响主要是对光合作用的影响。粒径大于1mm的颗粒物在扩散过程中可自然沉降，吸附于植物叶片上，阻塞气孔，影响生长，使叶片褪色、变硬，植物生长不良。另外，粉尘落到田间，会影响土壤透水透气性，不利于植物吸收土壤养分，间接造成植物生长缓慢。</w:t>
            </w:r>
          </w:p>
          <w:p>
            <w:pPr>
              <w:adjustRightInd w:val="0"/>
              <w:snapToGrid w:val="0"/>
              <w:spacing w:line="500" w:lineRule="exact"/>
              <w:ind w:firstLine="482"/>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本工程在采取环评规定的措施的基础上，污染物排放量较小，同时对厂区及周围的环境进行绿化，在车间之间的空地上设置绿化场地，因此本项目投产后对生态环境产生的负面影响较小</w:t>
            </w:r>
            <w:r>
              <w:rPr>
                <w:rFonts w:hint="eastAsia" w:ascii="Times New Roman" w:hAnsi="Times New Roman" w:cs="Times New Roman"/>
                <w:color w:val="000000"/>
                <w:spacing w:val="4"/>
                <w:sz w:val="24"/>
                <w:szCs w:val="24"/>
              </w:rPr>
              <w:t>。</w:t>
            </w: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r>
              <w:rPr>
                <w:rFonts w:hint="eastAsia" w:ascii="Times New Roman" w:cs="Times New Roman"/>
              </w:rPr>
              <w:t>.</w:t>
            </w:r>
          </w:p>
        </w:tc>
      </w:tr>
    </w:tbl>
    <w:p>
      <w:pPr>
        <w:rPr>
          <w:rFonts w:ascii="Times New Roman" w:hAnsi="Times New Roman" w:eastAsia="黑体" w:cs="Times New Roman"/>
          <w:bCs/>
          <w:color w:val="000000" w:themeColor="text1"/>
          <w:sz w:val="32"/>
          <w:szCs w:val="32"/>
        </w:rPr>
      </w:pPr>
      <w:r>
        <w:rPr>
          <w:rFonts w:ascii="Times New Roman" w:hAnsi="Times New Roman" w:eastAsia="黑体" w:cs="Times New Roman"/>
          <w:bCs/>
          <w:color w:val="000000" w:themeColor="text1"/>
          <w:sz w:val="32"/>
          <w:szCs w:val="32"/>
        </w:rPr>
        <w:br w:type="page"/>
      </w:r>
    </w:p>
    <w:p>
      <w:pPr>
        <w:rPr>
          <w:rFonts w:ascii="Times New Roman" w:hAnsi="Times New Roman" w:eastAsia="黑体" w:cs="Times New Roman"/>
          <w:bCs/>
          <w:color w:val="000000" w:themeColor="text1"/>
          <w:sz w:val="32"/>
          <w:szCs w:val="32"/>
        </w:rPr>
      </w:pPr>
      <w:r>
        <w:rPr>
          <w:rFonts w:hint="eastAsia" w:ascii="Times New Roman" w:hAnsi="Times New Roman" w:eastAsia="黑体" w:cs="Times New Roman"/>
          <w:bCs/>
          <w:color w:val="000000" w:themeColor="text1"/>
          <w:sz w:val="32"/>
          <w:szCs w:val="32"/>
        </w:rPr>
        <w:t>七、</w:t>
      </w:r>
      <w:r>
        <w:rPr>
          <w:rFonts w:ascii="Times New Roman" w:hAnsi="Times New Roman" w:eastAsia="黑体" w:cs="Times New Roman"/>
          <w:bCs/>
          <w:color w:val="000000" w:themeColor="text1"/>
          <w:sz w:val="32"/>
          <w:szCs w:val="32"/>
        </w:rPr>
        <w:t>环境影响分析</w:t>
      </w:r>
    </w:p>
    <w:tbl>
      <w:tblPr>
        <w:tblStyle w:val="40"/>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49" w:hRule="atLeast"/>
          <w:jc w:val="center"/>
        </w:trPr>
        <w:tc>
          <w:tcPr>
            <w:tcW w:w="9286" w:type="dxa"/>
            <w:tcBorders>
              <w:top w:val="single" w:color="auto" w:sz="12" w:space="0"/>
              <w:left w:val="single" w:color="auto" w:sz="12" w:space="0"/>
              <w:bottom w:val="single" w:color="auto" w:sz="6" w:space="0"/>
              <w:right w:val="single" w:color="auto" w:sz="12" w:space="0"/>
            </w:tcBorders>
          </w:tcPr>
          <w:p>
            <w:pPr>
              <w:spacing w:before="156" w:beforeLines="50" w:line="500" w:lineRule="exact"/>
              <w:rPr>
                <w:rFonts w:ascii="Times New Roman" w:hAnsi="Times New Roman" w:eastAsia="黑体" w:cs="Times New Roman"/>
                <w:bCs/>
                <w:color w:val="000000" w:themeColor="text1"/>
                <w:sz w:val="28"/>
                <w:szCs w:val="28"/>
              </w:rPr>
            </w:pPr>
            <w:r>
              <w:rPr>
                <w:rFonts w:ascii="Times New Roman" w:hAnsi="Times New Roman" w:eastAsia="黑体" w:cs="Times New Roman"/>
                <w:bCs/>
                <w:color w:val="000000" w:themeColor="text1"/>
                <w:sz w:val="28"/>
                <w:szCs w:val="28"/>
              </w:rPr>
              <w:t>7.1施工期环境影响分析：</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本项目施工内容为</w:t>
            </w:r>
            <w:r>
              <w:rPr>
                <w:rFonts w:ascii="Times New Roman" w:hAnsi="Times New Roman" w:cs="Times New Roman"/>
                <w:sz w:val="24"/>
                <w:szCs w:val="24"/>
              </w:rPr>
              <w:t>新建</w:t>
            </w:r>
            <w:r>
              <w:rPr>
                <w:rFonts w:hint="eastAsia" w:ascii="Times New Roman" w:hAnsi="Times New Roman" w:cs="Times New Roman"/>
                <w:sz w:val="24"/>
                <w:szCs w:val="24"/>
              </w:rPr>
              <w:t>厂房600</w:t>
            </w:r>
            <w:r>
              <w:rPr>
                <w:rFonts w:ascii="Times New Roman" w:hAnsi="Times New Roman" w:cs="Times New Roman"/>
                <w:sz w:val="24"/>
                <w:szCs w:val="24"/>
              </w:rPr>
              <w:t>平方米，办公用房</w:t>
            </w:r>
            <w:r>
              <w:rPr>
                <w:rFonts w:hint="eastAsia" w:ascii="Times New Roman" w:hAnsi="Times New Roman" w:cs="Times New Roman"/>
                <w:sz w:val="24"/>
                <w:szCs w:val="24"/>
              </w:rPr>
              <w:t>125</w:t>
            </w:r>
            <w:r>
              <w:rPr>
                <w:rFonts w:ascii="Times New Roman" w:hAnsi="Times New Roman" w:cs="Times New Roman"/>
                <w:sz w:val="24"/>
                <w:szCs w:val="24"/>
              </w:rPr>
              <w:t>平方米，厂区硬化1000平方米，</w:t>
            </w:r>
            <w:r>
              <w:rPr>
                <w:rFonts w:ascii="Times New Roman" w:hAnsi="Times New Roman" w:cs="Times New Roman"/>
                <w:color w:val="000000"/>
                <w:kern w:val="0"/>
                <w:sz w:val="24"/>
                <w:szCs w:val="24"/>
              </w:rPr>
              <w:t>建设施工期的产污环节主要是扬尘污染、施工噪声、各类建筑垃圾及施工人员的生活垃圾、生活污水等</w:t>
            </w:r>
            <w:r>
              <w:rPr>
                <w:rFonts w:ascii="Times New Roman" w:hAnsi="Times New Roman" w:cs="Times New Roman"/>
                <w:color w:val="000000"/>
                <w:sz w:val="24"/>
                <w:szCs w:val="24"/>
              </w:rPr>
              <w:t>。</w:t>
            </w:r>
          </w:p>
          <w:p>
            <w:pPr>
              <w:spacing w:line="500" w:lineRule="exact"/>
              <w:ind w:firstLine="504" w:firstLineChars="200"/>
              <w:rPr>
                <w:rFonts w:ascii="Times New Roman" w:hAnsi="Times New Roman" w:cs="Times New Roman"/>
                <w:color w:val="000000"/>
                <w:spacing w:val="6"/>
                <w:kern w:val="0"/>
                <w:sz w:val="24"/>
                <w:szCs w:val="24"/>
              </w:rPr>
            </w:pPr>
            <w:r>
              <w:rPr>
                <w:rFonts w:ascii="Times New Roman" w:hAnsi="Times New Roman" w:cs="Times New Roman"/>
                <w:color w:val="000000"/>
                <w:spacing w:val="6"/>
                <w:kern w:val="0"/>
                <w:sz w:val="24"/>
                <w:szCs w:val="24"/>
              </w:rPr>
              <w:t>1、</w:t>
            </w:r>
            <w:r>
              <w:rPr>
                <w:rFonts w:ascii="Times New Roman" w:hAnsi="Times New Roman" w:cs="Times New Roman"/>
                <w:color w:val="000000"/>
                <w:kern w:val="0"/>
                <w:sz w:val="24"/>
                <w:szCs w:val="24"/>
              </w:rPr>
              <w:t>施工期环境大气污染影响分析</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施工活动对环境空气的影响主要来自施工作业产生的扬尘，其中地面清理、场地平整、物料运输等是主要污染源。为最大限度地减少扬尘污染，在施工期间要合理规划物料堆放场地，避免施工现场大量露天堆放建筑垃圾等物料，粉状物料应存于料棚内，没有料棚时应至少加盖棚布。施工场地应定期洒水、清理和冲洗，对运输车辆要限速行驶。每个工段都严把清洁生产关，最大限度地减少扬尘的产生量。随着施工期的结束，对环境的影响也将随之消失。</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为减轻施工扬尘对周围空气环境的不利影响，本评价根据山西省人民政府办公厅《关于印发山西省大气污染防治201</w:t>
            </w:r>
            <w:r>
              <w:rPr>
                <w:rFonts w:hint="eastAsia" w:ascii="Times New Roman" w:hAnsi="Times New Roman" w:cs="Times New Roman"/>
                <w:color w:val="000000"/>
                <w:sz w:val="24"/>
                <w:szCs w:val="24"/>
              </w:rPr>
              <w:t>9</w:t>
            </w:r>
            <w:r>
              <w:rPr>
                <w:rFonts w:ascii="Times New Roman" w:hAnsi="Times New Roman" w:cs="Times New Roman"/>
                <w:color w:val="000000"/>
                <w:sz w:val="24"/>
                <w:szCs w:val="24"/>
              </w:rPr>
              <w:t>年行动计划的通知》、《关于印发山西省打赢蓝天保卫战三年行动计划的通知》(晋政发〔2018〕30号)，要求建设单位做好施工扬尘污染防护措施，具体措施如下：</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1）对易产生扬尘的粉状、粒状物料密闭储存，采用密闭皮带、封闭通廊、管状带式输送机或密闭车厢、真空罐车、气力输送等密闭输送方式运输；块状物料采用入棚入仓或建设防风抑尘网等方式进行存储，并设有洒水、喷淋、苫盖等综合措施进行抑尘。</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（2）生产现场和料场路面应实施硬化，出口处配备车轮和车身清洗装置。</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3）建设单位应当在施工工地公示扬尘污染防治措施、负责人、扬尘监督管理主管部门等信息，确保做到工地周边围挡、物料堆放覆盖、土方开挖湿法作业、路面硬化、出入车辆清洗、渣土车辆密闭运输“六个百分之百”；</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（4）重污染天气预警和采暖季期间，停止各类土方作业和房屋拆迁施工作业。</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（5）从严控制渣土运输污染。渣土运输车辆全部采用“全密闭”“全定位”“全监控”的新型环保渣土车，并符合环保尾气排放标准。</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6）无主管部门核发的《渣土运输许可证》和交警部门核发的《限行道路通行证》的车辆，一律不得进入工地；密闭不严、车轮带泥的车辆，一律不得驶出工地。渣土运输必须按照规定线路行驶，必须到指定场所倾倒。</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kern w:val="0"/>
                <w:sz w:val="24"/>
                <w:szCs w:val="24"/>
              </w:rPr>
              <w:t>（7）物料运输车辆采用封闭箱式货车、集装箱运输车。</w:t>
            </w:r>
          </w:p>
          <w:p>
            <w:pPr>
              <w:spacing w:line="500" w:lineRule="exact"/>
              <w:ind w:firstLine="506" w:firstLineChars="200"/>
              <w:rPr>
                <w:rFonts w:ascii="Times New Roman" w:hAnsi="Times New Roman" w:cs="Times New Roman"/>
                <w:b/>
                <w:bCs/>
                <w:color w:val="000000"/>
                <w:spacing w:val="6"/>
                <w:kern w:val="0"/>
                <w:sz w:val="24"/>
                <w:szCs w:val="24"/>
              </w:rPr>
            </w:pPr>
            <w:r>
              <w:rPr>
                <w:rFonts w:ascii="Times New Roman" w:hAnsi="Times New Roman" w:cs="Times New Roman"/>
                <w:b/>
                <w:bCs/>
                <w:color w:val="000000"/>
                <w:spacing w:val="6"/>
                <w:kern w:val="0"/>
                <w:sz w:val="24"/>
                <w:szCs w:val="24"/>
              </w:rPr>
              <w:t>2、施工期声环境污染影响分析</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本项目施工期的主要噪声源为运输车辆、机械设备安装产生的噪声，噪声值可达65-100dB(A)。</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环评要求建设单位采取以下防治措施来减轻噪声对周围环境的影响。</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（1）降低施工设备噪声：要定期对机械设备进行维护和保养，使其一直保持良好的状态，减轻因设备运行状态不佳而造成的噪声污染；对动力机械、设备加强定期检修、养护；</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（2）对位置相对固定的机械设备，能于室内操作的尽量进入操作间，不能进入操作间的，可适当建立单面声障；</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（3）按规定操作机械设备，模板、支架装卸过程中，尽量减少碰撞声音；</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（4）在施工作业中必须合理安排各类施工机械的工作时间</w:t>
            </w:r>
            <w:r>
              <w:rPr>
                <w:rFonts w:ascii="Times New Roman" w:hAnsi="Times New Roman" w:cs="Times New Roman"/>
                <w:color w:val="000000"/>
                <w:kern w:val="0"/>
                <w:sz w:val="24"/>
                <w:szCs w:val="24"/>
              </w:rPr>
              <w:t>，禁止夜间施工。</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（5）运输车辆在经过周围村庄时应限制车速，尽量减少鸣笛。</w:t>
            </w:r>
          </w:p>
          <w:p>
            <w:pPr>
              <w:spacing w:line="500" w:lineRule="exact"/>
              <w:ind w:firstLine="480" w:firstLineChars="200"/>
              <w:rPr>
                <w:rFonts w:ascii="Times New Roman" w:hAnsi="Times New Roman" w:cs="Times New Roman"/>
                <w:color w:val="000000"/>
                <w:kern w:val="0"/>
                <w:sz w:val="24"/>
                <w:szCs w:val="24"/>
              </w:rPr>
            </w:pPr>
            <w:r>
              <w:rPr>
                <w:rFonts w:ascii="Times New Roman" w:hAnsi="Times New Roman" w:cs="Times New Roman"/>
                <w:color w:val="000000"/>
                <w:sz w:val="24"/>
                <w:szCs w:val="24"/>
              </w:rPr>
              <w:t>本项目采取以上噪声防治措施后，且夜间不施工，不会对周围敏感点产生较大影响。</w:t>
            </w:r>
            <w:r>
              <w:rPr>
                <w:rFonts w:ascii="Times New Roman" w:hAnsi="Times New Roman" w:cs="Times New Roman"/>
                <w:color w:val="000000"/>
                <w:kern w:val="0"/>
                <w:sz w:val="24"/>
                <w:szCs w:val="24"/>
              </w:rPr>
              <w:t xml:space="preserve"> </w:t>
            </w:r>
          </w:p>
          <w:p>
            <w:pPr>
              <w:spacing w:line="500" w:lineRule="exact"/>
              <w:ind w:firstLine="506" w:firstLineChars="200"/>
              <w:rPr>
                <w:rFonts w:ascii="Times New Roman" w:hAnsi="Times New Roman" w:cs="Times New Roman"/>
                <w:b/>
                <w:color w:val="000000"/>
                <w:spacing w:val="6"/>
                <w:kern w:val="0"/>
                <w:sz w:val="24"/>
                <w:szCs w:val="24"/>
              </w:rPr>
            </w:pPr>
            <w:r>
              <w:rPr>
                <w:rFonts w:ascii="Times New Roman" w:hAnsi="Times New Roman" w:cs="Times New Roman"/>
                <w:b/>
                <w:color w:val="000000"/>
                <w:spacing w:val="6"/>
                <w:kern w:val="0"/>
                <w:sz w:val="24"/>
                <w:szCs w:val="24"/>
              </w:rPr>
              <w:t>3、</w:t>
            </w:r>
            <w:r>
              <w:rPr>
                <w:rFonts w:ascii="Times New Roman" w:hAnsi="Times New Roman" w:cs="Times New Roman"/>
                <w:b/>
                <w:color w:val="000000"/>
                <w:kern w:val="0"/>
                <w:sz w:val="24"/>
                <w:szCs w:val="24"/>
              </w:rPr>
              <w:t>施工期水环境污染影响分析</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施工机械、车辆轮胎冲洗废水主要污染物为COD、SS和石油类，SS浓度可达3000mg/L，石油类浓度可达20mg/L。施工期设备冲洗水只含有少量泥沙，不含其它杂质，排放量较小，施工现场设集水沉淀池收集，经沉淀后用于施工场地洒水抑尘。因此，施工期废水不入河道，对周围环境及地表水环境不会造成大的影响。</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本项目在施工期中施工人员生活污水污染以有机污染为主，主要污染物为COD</w:t>
            </w:r>
            <w:r>
              <w:rPr>
                <w:rFonts w:ascii="Times New Roman" w:hAnsi="Times New Roman" w:cs="Times New Roman"/>
                <w:color w:val="000000"/>
                <w:sz w:val="24"/>
                <w:szCs w:val="24"/>
                <w:vertAlign w:val="subscript"/>
              </w:rPr>
              <w:t>Cr</w:t>
            </w:r>
            <w:r>
              <w:rPr>
                <w:rFonts w:ascii="Times New Roman" w:hAnsi="Times New Roman" w:cs="Times New Roman"/>
                <w:color w:val="000000"/>
                <w:sz w:val="24"/>
                <w:szCs w:val="24"/>
              </w:rPr>
              <w:t>、BOD</w:t>
            </w:r>
            <w:r>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、SS、氨氮等。其产生的生活污水成分简单经沉淀池收集并沉淀后，用于工地洒水抑尘不外排。</w:t>
            </w:r>
          </w:p>
          <w:p>
            <w:pPr>
              <w:spacing w:line="500" w:lineRule="exact"/>
              <w:ind w:firstLine="506" w:firstLineChars="200"/>
              <w:rPr>
                <w:rFonts w:ascii="Times New Roman" w:hAnsi="Times New Roman" w:cs="Times New Roman"/>
                <w:b/>
                <w:color w:val="000000"/>
                <w:spacing w:val="6"/>
                <w:kern w:val="0"/>
                <w:sz w:val="24"/>
                <w:szCs w:val="24"/>
              </w:rPr>
            </w:pPr>
            <w:r>
              <w:rPr>
                <w:rFonts w:ascii="Times New Roman" w:hAnsi="Times New Roman" w:cs="Times New Roman"/>
                <w:b/>
                <w:color w:val="000000"/>
                <w:spacing w:val="6"/>
                <w:kern w:val="0"/>
                <w:sz w:val="24"/>
                <w:szCs w:val="24"/>
              </w:rPr>
              <w:t>4、</w:t>
            </w:r>
            <w:r>
              <w:rPr>
                <w:rFonts w:ascii="Times New Roman" w:hAnsi="Times New Roman" w:cs="Times New Roman"/>
                <w:b/>
                <w:color w:val="000000"/>
                <w:kern w:val="0"/>
                <w:sz w:val="24"/>
                <w:szCs w:val="24"/>
              </w:rPr>
              <w:t>施工期固体废物环境污染影响分析</w:t>
            </w:r>
          </w:p>
          <w:p>
            <w:pPr>
              <w:spacing w:line="500" w:lineRule="exact"/>
              <w:ind w:firstLine="480" w:firstLineChars="2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施工期产生的固体废物主要为建筑垃圾和生活垃圾。施工中建筑垃圾主要是灰浆、废材料等，应由企业统一处理，及时清运</w:t>
            </w:r>
            <w:r>
              <w:rPr>
                <w:rFonts w:ascii="Times New Roman" w:hAnsi="Times New Roman" w:cs="Times New Roman"/>
                <w:color w:val="000000"/>
                <w:spacing w:val="2"/>
                <w:kern w:val="0"/>
                <w:sz w:val="24"/>
                <w:szCs w:val="24"/>
              </w:rPr>
              <w:t>至代县指定的建筑垃圾填埋场，不在施工场地随意堆放，对环境影响较小</w:t>
            </w:r>
            <w:r>
              <w:rPr>
                <w:rFonts w:ascii="Times New Roman" w:hAnsi="Times New Roman" w:cs="Times New Roman"/>
                <w:color w:val="000000"/>
                <w:kern w:val="0"/>
                <w:sz w:val="24"/>
                <w:szCs w:val="24"/>
              </w:rPr>
              <w:t>。</w:t>
            </w:r>
          </w:p>
          <w:p>
            <w:pPr>
              <w:spacing w:line="50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生活垃圾以有机污染物为主，少量以无机污染物为主，随意堆放将影响周围环境。施工现场应设垃圾桶，将产生的生活垃圾收集，并环卫部门指定的地点交由环卫部门处置，对环境影响较小。</w:t>
            </w:r>
          </w:p>
          <w:p>
            <w:pPr>
              <w:spacing w:line="500" w:lineRule="exact"/>
              <w:ind w:firstLine="480" w:firstLineChars="200"/>
              <w:rPr>
                <w:rFonts w:ascii="Times New Roman" w:hAnsi="Times New Roman" w:cs="Times New Roman"/>
                <w:color w:val="333333"/>
                <w:sz w:val="24"/>
                <w:szCs w:val="24"/>
              </w:rPr>
            </w:pPr>
            <w:r>
              <w:rPr>
                <w:rFonts w:ascii="Times New Roman" w:hAnsi="Times New Roman" w:cs="Times New Roman"/>
                <w:color w:val="000000"/>
                <w:kern w:val="0"/>
                <w:sz w:val="24"/>
                <w:szCs w:val="24"/>
              </w:rPr>
              <w:t>施工过程中产生的污染都是暂时的，随着施工过程的结束，该污染也将消失。</w:t>
            </w:r>
          </w:p>
          <w:p>
            <w:pPr>
              <w:widowControl/>
              <w:adjustRightInd w:val="0"/>
              <w:snapToGrid w:val="0"/>
              <w:spacing w:line="500" w:lineRule="exact"/>
              <w:ind w:firstLine="480" w:firstLineChars="200"/>
              <w:jc w:val="left"/>
              <w:rPr>
                <w:rFonts w:ascii="Times New Roman" w:hAnsi="Times New Roman" w:cs="Times New Roman"/>
                <w:color w:val="000000" w:themeColor="text1"/>
                <w:kern w:val="0"/>
                <w:sz w:val="24"/>
                <w:szCs w:val="24"/>
              </w:rPr>
            </w:pPr>
          </w:p>
          <w:p>
            <w:pPr>
              <w:widowControl/>
              <w:adjustRightInd w:val="0"/>
              <w:snapToGrid w:val="0"/>
              <w:spacing w:line="500" w:lineRule="exact"/>
              <w:ind w:firstLine="480" w:firstLineChars="200"/>
              <w:jc w:val="left"/>
              <w:rPr>
                <w:rFonts w:ascii="Times New Roman" w:hAnsi="Times New Roman" w:cs="Times New Roman"/>
                <w:color w:val="000000" w:themeColor="text1"/>
                <w:kern w:val="0"/>
                <w:sz w:val="24"/>
                <w:szCs w:val="24"/>
              </w:rPr>
            </w:pPr>
          </w:p>
          <w:p>
            <w:pPr>
              <w:widowControl/>
              <w:adjustRightInd w:val="0"/>
              <w:snapToGrid w:val="0"/>
              <w:spacing w:line="500" w:lineRule="exact"/>
              <w:ind w:firstLine="480" w:firstLineChars="200"/>
              <w:jc w:val="left"/>
              <w:rPr>
                <w:rFonts w:ascii="Times New Roman" w:hAnsi="Times New Roman"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widowControl/>
              <w:adjustRightInd w:val="0"/>
              <w:snapToGrid w:val="0"/>
              <w:spacing w:line="480" w:lineRule="exact"/>
              <w:ind w:firstLine="480" w:firstLineChars="200"/>
              <w:jc w:val="left"/>
              <w:rPr>
                <w:rFonts w:ascii="Times New Roman" w:hAnsi="Times New Roman" w:eastAsia="宋体" w:cs="Times New Roman"/>
                <w:color w:val="000000" w:themeColor="text1"/>
                <w:kern w:val="0"/>
                <w:sz w:val="24"/>
                <w:szCs w:val="24"/>
              </w:rPr>
            </w:pPr>
          </w:p>
          <w:p>
            <w:pPr>
              <w:spacing w:line="480" w:lineRule="exact"/>
              <w:ind w:firstLine="488" w:firstLineChars="200"/>
              <w:jc w:val="left"/>
              <w:rPr>
                <w:rFonts w:ascii="Times New Roman" w:hAnsi="Times New Roman" w:eastAsia="宋体" w:cs="Times New Roman"/>
                <w:color w:val="000000" w:themeColor="text1"/>
                <w:spacing w:val="2"/>
                <w:sz w:val="24"/>
                <w:szCs w:val="24"/>
              </w:rPr>
            </w:pPr>
          </w:p>
          <w:p>
            <w:pPr>
              <w:adjustRightInd w:val="0"/>
              <w:snapToGrid w:val="0"/>
              <w:spacing w:before="120" w:line="520" w:lineRule="exact"/>
              <w:rPr>
                <w:rFonts w:ascii="Times New Roman" w:hAnsi="Times New Roman" w:eastAsia="宋体" w:cs="Times New Roman"/>
                <w:bCs/>
                <w:color w:val="000000" w:themeColor="text1"/>
                <w:sz w:val="28"/>
                <w:szCs w:val="28"/>
              </w:rPr>
            </w:pPr>
          </w:p>
          <w:p>
            <w:pPr>
              <w:adjustRightInd w:val="0"/>
              <w:snapToGrid w:val="0"/>
              <w:spacing w:before="120" w:line="520" w:lineRule="exact"/>
              <w:rPr>
                <w:rFonts w:ascii="Times New Roman" w:hAnsi="Times New Roman" w:eastAsia="宋体" w:cs="Times New Roman"/>
                <w:bCs/>
                <w:color w:val="000000" w:themeColor="text1"/>
                <w:sz w:val="28"/>
                <w:szCs w:val="28"/>
              </w:rPr>
            </w:pPr>
          </w:p>
          <w:p>
            <w:pPr>
              <w:adjustRightInd w:val="0"/>
              <w:snapToGrid w:val="0"/>
              <w:spacing w:before="120" w:line="520" w:lineRule="exact"/>
              <w:rPr>
                <w:rFonts w:ascii="Times New Roman" w:hAnsi="Times New Roman" w:eastAsia="宋体" w:cs="Times New Roman"/>
                <w:bCs/>
                <w:color w:val="000000" w:themeColor="text1"/>
                <w:sz w:val="28"/>
                <w:szCs w:val="28"/>
              </w:rPr>
            </w:pPr>
          </w:p>
          <w:p>
            <w:pPr>
              <w:adjustRightInd w:val="0"/>
              <w:snapToGrid w:val="0"/>
              <w:spacing w:before="120" w:line="520" w:lineRule="exact"/>
              <w:rPr>
                <w:rFonts w:ascii="Times New Roman" w:hAnsi="Times New Roman" w:cs="Times New Roman"/>
              </w:rPr>
            </w:pPr>
            <w:r>
              <w:rPr>
                <w:rFonts w:ascii="Times New Roman" w:hAnsi="Times New Roman" w:eastAsia="宋体" w:cs="Times New Roman"/>
                <w:bCs/>
                <w:color w:val="000000" w:themeColor="text1"/>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93" w:hRule="atLeast"/>
          <w:jc w:val="center"/>
        </w:trPr>
        <w:tc>
          <w:tcPr>
            <w:tcW w:w="9286" w:type="dxa"/>
            <w:tcBorders>
              <w:top w:val="single" w:color="auto" w:sz="6" w:space="0"/>
              <w:left w:val="single" w:color="auto" w:sz="12" w:space="0"/>
              <w:bottom w:val="single" w:color="auto" w:sz="12" w:space="0"/>
              <w:right w:val="single" w:color="auto" w:sz="12" w:space="0"/>
            </w:tcBorders>
          </w:tcPr>
          <w:p>
            <w:pPr>
              <w:spacing w:line="480" w:lineRule="exact"/>
              <w:rPr>
                <w:rFonts w:ascii="Times New Roman" w:hAnsi="Times New Roman" w:eastAsia="黑体" w:cs="Times New Roman"/>
                <w:bCs/>
                <w:color w:val="000000" w:themeColor="text1"/>
                <w:sz w:val="28"/>
                <w:szCs w:val="28"/>
              </w:rPr>
            </w:pPr>
            <w:r>
              <w:rPr>
                <w:rFonts w:ascii="Times New Roman" w:hAnsi="Times New Roman" w:eastAsia="黑体" w:cs="Times New Roman"/>
                <w:bCs/>
                <w:color w:val="000000" w:themeColor="text1"/>
                <w:sz w:val="28"/>
                <w:szCs w:val="28"/>
              </w:rPr>
              <w:t>7.2营运期环境影响分析：</w:t>
            </w:r>
          </w:p>
          <w:p>
            <w:pPr>
              <w:spacing w:line="5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1、大气环境影响分析</w:t>
            </w:r>
          </w:p>
          <w:p>
            <w:pPr>
              <w:spacing w:line="480" w:lineRule="exact"/>
              <w:ind w:firstLine="482" w:firstLineChars="200"/>
              <w:rPr>
                <w:rFonts w:ascii="Times New Roman" w:hAnsi="Times New Roman" w:cs="Times New Roman"/>
                <w:b/>
                <w:bCs/>
                <w:sz w:val="24"/>
              </w:rPr>
            </w:pPr>
            <w:r>
              <w:rPr>
                <w:rFonts w:ascii="Times New Roman" w:hAnsi="Times New Roman" w:cs="Times New Roman"/>
                <w:b/>
                <w:bCs/>
                <w:sz w:val="24"/>
              </w:rPr>
              <w:t>1.1大气污染源分析</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本项目运营期对大气的影响主要表现为原料及成品运输产生的扬尘、原料及成品堆存产生的粉尘、破碎</w:t>
            </w:r>
            <w:r>
              <w:rPr>
                <w:rFonts w:hint="eastAsia" w:ascii="Times New Roman" w:hAnsi="Times New Roman" w:cs="Times New Roman"/>
                <w:sz w:val="24"/>
                <w:szCs w:val="24"/>
              </w:rPr>
              <w:t>、</w:t>
            </w:r>
            <w:r>
              <w:rPr>
                <w:rFonts w:ascii="Times New Roman" w:hAnsi="Times New Roman" w:cs="Times New Roman"/>
                <w:sz w:val="24"/>
                <w:szCs w:val="24"/>
              </w:rPr>
              <w:t>筛分时产生的粉尘、物料输送产生的粉尘。</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（1）原料及成品运输产生的扬尘</w:t>
            </w:r>
          </w:p>
          <w:p>
            <w:pPr>
              <w:spacing w:before="50" w:line="480" w:lineRule="exact"/>
              <w:ind w:firstLine="496" w:firstLineChars="200"/>
              <w:jc w:val="left"/>
              <w:rPr>
                <w:rFonts w:ascii="Times New Roman" w:hAnsi="Times New Roman" w:cs="Times New Roman"/>
                <w:spacing w:val="4"/>
                <w:sz w:val="24"/>
                <w:szCs w:val="24"/>
              </w:rPr>
            </w:pPr>
            <w:r>
              <w:rPr>
                <w:rFonts w:ascii="Times New Roman" w:hAnsi="Times New Roman" w:cs="Times New Roman"/>
                <w:spacing w:val="4"/>
                <w:sz w:val="24"/>
                <w:szCs w:val="24"/>
              </w:rPr>
              <w:t>原料进厂和产品出厂均采用汽车运输，物料在运输过程中将产生道路扬尘</w:t>
            </w:r>
            <w:r>
              <w:rPr>
                <w:rFonts w:ascii="Times New Roman" w:hAnsi="Times New Roman" w:cs="Times New Roman"/>
                <w:sz w:val="24"/>
              </w:rPr>
              <w:t>。</w:t>
            </w:r>
          </w:p>
          <w:p>
            <w:pPr>
              <w:spacing w:before="50" w:line="480" w:lineRule="exact"/>
              <w:ind w:firstLine="496" w:firstLineChars="200"/>
              <w:jc w:val="left"/>
              <w:rPr>
                <w:rFonts w:ascii="Times New Roman" w:hAnsi="Times New Roman" w:cs="Times New Roman"/>
                <w:spacing w:val="4"/>
                <w:sz w:val="24"/>
                <w:szCs w:val="24"/>
              </w:rPr>
            </w:pPr>
            <w:r>
              <w:rPr>
                <w:rFonts w:ascii="Times New Roman" w:hAnsi="Times New Roman" w:cs="Times New Roman"/>
                <w:spacing w:val="4"/>
                <w:sz w:val="24"/>
                <w:szCs w:val="24"/>
              </w:rPr>
              <w:t>运输起尘采用下述经验公式进行计算：</w:t>
            </w:r>
          </w:p>
          <w:p>
            <w:pPr>
              <w:spacing w:before="50" w:line="480" w:lineRule="exact"/>
              <w:ind w:firstLine="2040" w:firstLineChars="850"/>
              <w:jc w:val="left"/>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p</w:t>
            </w:r>
            <w:r>
              <w:rPr>
                <w:rFonts w:ascii="Times New Roman" w:hAnsi="Times New Roman" w:cs="Times New Roman"/>
                <w:sz w:val="24"/>
                <w:szCs w:val="24"/>
              </w:rPr>
              <w:t>=0.123(V/5)·(M/6.8)</w:t>
            </w:r>
            <w:r>
              <w:rPr>
                <w:rFonts w:ascii="Times New Roman" w:hAnsi="Times New Roman" w:cs="Times New Roman"/>
                <w:sz w:val="24"/>
                <w:szCs w:val="24"/>
                <w:vertAlign w:val="superscript"/>
              </w:rPr>
              <w:t>0.85</w:t>
            </w:r>
            <w:r>
              <w:rPr>
                <w:rFonts w:ascii="Times New Roman" w:hAnsi="Times New Roman" w:cs="Times New Roman"/>
                <w:sz w:val="24"/>
                <w:szCs w:val="24"/>
              </w:rPr>
              <w:t>·(P/0.5)</w:t>
            </w:r>
            <w:r>
              <w:rPr>
                <w:rFonts w:ascii="Times New Roman" w:hAnsi="Times New Roman" w:cs="Times New Roman"/>
                <w:sz w:val="24"/>
                <w:szCs w:val="24"/>
                <w:vertAlign w:val="superscript"/>
              </w:rPr>
              <w:t>0.72</w:t>
            </w:r>
            <w:r>
              <w:rPr>
                <w:rFonts w:ascii="Times New Roman" w:hAnsi="Times New Roman" w:cs="Times New Roman"/>
                <w:sz w:val="24"/>
                <w:szCs w:val="24"/>
              </w:rPr>
              <w:t xml:space="preserve"> </w:t>
            </w:r>
          </w:p>
          <w:p>
            <w:pPr>
              <w:spacing w:before="50" w:after="156" w:afterLines="50" w:line="480" w:lineRule="exact"/>
              <w:ind w:firstLine="2040" w:firstLineChars="850"/>
              <w:jc w:val="left"/>
              <w:rPr>
                <w:rFonts w:ascii="Times New Roman" w:hAnsi="Times New Roman" w:cs="Times New Roman"/>
                <w:sz w:val="24"/>
                <w:szCs w:val="24"/>
                <w:lang w:val="es-VE"/>
              </w:rPr>
            </w:pPr>
            <w:r>
              <w:rPr>
                <w:rFonts w:ascii="Times New Roman" w:hAnsi="Times New Roman" w:cs="Times New Roman"/>
                <w:sz w:val="24"/>
                <w:szCs w:val="24"/>
                <w:lang w:val="es-VE"/>
              </w:rPr>
              <w:t>Q</w:t>
            </w:r>
            <w:r>
              <w:rPr>
                <w:rFonts w:ascii="Times New Roman" w:hAnsi="Times New Roman" w:cs="Times New Roman"/>
                <w:sz w:val="24"/>
                <w:szCs w:val="24"/>
              </w:rPr>
              <w:t>′</w:t>
            </w:r>
            <w:r>
              <w:rPr>
                <w:rFonts w:ascii="Times New Roman" w:hAnsi="Times New Roman" w:cs="Times New Roman"/>
                <w:sz w:val="24"/>
                <w:szCs w:val="24"/>
                <w:vertAlign w:val="subscript"/>
                <w:lang w:val="es-VE"/>
              </w:rPr>
              <w:t>p</w:t>
            </w:r>
            <w:r>
              <w:rPr>
                <w:rFonts w:ascii="Times New Roman" w:hAnsi="Times New Roman" w:cs="Times New Roman"/>
                <w:sz w:val="24"/>
                <w:szCs w:val="24"/>
                <w:lang w:val="es-VE"/>
              </w:rPr>
              <w:t>=Q</w:t>
            </w:r>
            <w:r>
              <w:rPr>
                <w:rFonts w:ascii="Times New Roman" w:hAnsi="Times New Roman" w:cs="Times New Roman"/>
                <w:sz w:val="24"/>
                <w:szCs w:val="24"/>
                <w:vertAlign w:val="subscript"/>
                <w:lang w:val="es-VE"/>
              </w:rPr>
              <w:t>p</w:t>
            </w:r>
            <w:r>
              <w:rPr>
                <w:rFonts w:ascii="Times New Roman" w:hAnsi="Times New Roman" w:cs="Times New Roman"/>
                <w:sz w:val="24"/>
                <w:szCs w:val="24"/>
                <w:lang w:val="es-VE"/>
              </w:rPr>
              <w:t>·L·Q/M</w:t>
            </w:r>
          </w:p>
          <w:p>
            <w:pPr>
              <w:spacing w:line="480" w:lineRule="exact"/>
              <w:ind w:firstLine="558" w:firstLineChars="225"/>
              <w:jc w:val="left"/>
              <w:rPr>
                <w:rFonts w:ascii="Times New Roman" w:hAnsi="Times New Roman" w:cs="Times New Roman"/>
                <w:spacing w:val="4"/>
                <w:sz w:val="24"/>
                <w:szCs w:val="24"/>
              </w:rPr>
            </w:pPr>
            <w:r>
              <w:rPr>
                <w:rFonts w:ascii="Times New Roman" w:hAnsi="Times New Roman" w:cs="Times New Roman"/>
                <w:spacing w:val="4"/>
                <w:sz w:val="24"/>
                <w:szCs w:val="24"/>
              </w:rPr>
              <w:t>式中：Q</w:t>
            </w:r>
            <w:r>
              <w:rPr>
                <w:rFonts w:ascii="Times New Roman" w:hAnsi="Times New Roman" w:cs="Times New Roman"/>
                <w:spacing w:val="4"/>
                <w:sz w:val="24"/>
                <w:szCs w:val="24"/>
                <w:vertAlign w:val="subscript"/>
              </w:rPr>
              <w:t>p</w:t>
            </w:r>
            <w:r>
              <w:rPr>
                <w:rFonts w:ascii="Times New Roman" w:hAnsi="Times New Roman" w:cs="Times New Roman"/>
                <w:spacing w:val="4"/>
                <w:sz w:val="24"/>
                <w:szCs w:val="24"/>
              </w:rPr>
              <w:t>——交通运输起尘量，kg/km辆；</w:t>
            </w:r>
          </w:p>
          <w:p>
            <w:pPr>
              <w:spacing w:line="480" w:lineRule="exact"/>
              <w:ind w:firstLine="1264" w:firstLineChars="527"/>
              <w:jc w:val="left"/>
              <w:rPr>
                <w:rFonts w:ascii="Times New Roman" w:hAnsi="Times New Roman" w:cs="Times New Roman"/>
                <w:spacing w:val="4"/>
                <w:sz w:val="24"/>
                <w:szCs w:val="24"/>
              </w:rPr>
            </w:pPr>
            <w:r>
              <w:rPr>
                <w:rFonts w:ascii="Times New Roman" w:hAnsi="Times New Roman" w:cs="Times New Roman"/>
                <w:sz w:val="24"/>
                <w:szCs w:val="24"/>
                <w:lang w:val="es-VE"/>
              </w:rPr>
              <w:t>Q</w:t>
            </w:r>
            <w:r>
              <w:rPr>
                <w:rFonts w:ascii="Times New Roman" w:hAnsi="Times New Roman" w:cs="Times New Roman"/>
                <w:sz w:val="24"/>
                <w:szCs w:val="24"/>
              </w:rPr>
              <w:t>′</w:t>
            </w:r>
            <w:r>
              <w:rPr>
                <w:rFonts w:ascii="Times New Roman" w:hAnsi="Times New Roman" w:cs="Times New Roman"/>
                <w:sz w:val="24"/>
                <w:szCs w:val="24"/>
                <w:vertAlign w:val="subscript"/>
                <w:lang w:val="es-VE"/>
              </w:rPr>
              <w:t>p</w:t>
            </w:r>
            <w:r>
              <w:rPr>
                <w:rFonts w:ascii="Times New Roman" w:hAnsi="Times New Roman" w:cs="Times New Roman"/>
                <w:spacing w:val="4"/>
                <w:sz w:val="24"/>
                <w:szCs w:val="24"/>
              </w:rPr>
              <w:t>——运输途中起尘量，kg/a；</w:t>
            </w:r>
          </w:p>
          <w:p>
            <w:pPr>
              <w:adjustRightInd w:val="0"/>
              <w:snapToGrid w:val="0"/>
              <w:spacing w:line="480" w:lineRule="exact"/>
              <w:ind w:firstLine="558" w:firstLineChars="225"/>
              <w:jc w:val="left"/>
              <w:rPr>
                <w:rFonts w:ascii="Times New Roman" w:hAnsi="Times New Roman" w:cs="Times New Roman"/>
                <w:spacing w:val="4"/>
                <w:sz w:val="24"/>
                <w:szCs w:val="24"/>
              </w:rPr>
            </w:pPr>
            <w:r>
              <w:rPr>
                <w:rFonts w:ascii="Times New Roman" w:hAnsi="Times New Roman" w:cs="Times New Roman"/>
                <w:spacing w:val="4"/>
                <w:sz w:val="24"/>
                <w:szCs w:val="24"/>
              </w:rPr>
              <w:t xml:space="preserve">      V——车辆行驶速度，km/h；</w:t>
            </w:r>
          </w:p>
          <w:p>
            <w:pPr>
              <w:adjustRightInd w:val="0"/>
              <w:snapToGrid w:val="0"/>
              <w:spacing w:line="480" w:lineRule="exact"/>
              <w:ind w:firstLine="558" w:firstLineChars="225"/>
              <w:jc w:val="left"/>
              <w:rPr>
                <w:rFonts w:ascii="Times New Roman" w:hAnsi="Times New Roman" w:cs="Times New Roman"/>
                <w:spacing w:val="4"/>
                <w:sz w:val="24"/>
                <w:szCs w:val="24"/>
              </w:rPr>
            </w:pPr>
            <w:r>
              <w:rPr>
                <w:rFonts w:ascii="Times New Roman" w:hAnsi="Times New Roman" w:cs="Times New Roman"/>
                <w:spacing w:val="4"/>
                <w:sz w:val="24"/>
                <w:szCs w:val="24"/>
              </w:rPr>
              <w:t xml:space="preserve">      M——车辆载重，t/辆；</w:t>
            </w:r>
          </w:p>
          <w:p>
            <w:pPr>
              <w:adjustRightInd w:val="0"/>
              <w:snapToGrid w:val="0"/>
              <w:spacing w:line="480" w:lineRule="exact"/>
              <w:ind w:firstLine="558" w:firstLineChars="225"/>
              <w:jc w:val="left"/>
              <w:rPr>
                <w:rFonts w:ascii="Times New Roman" w:hAnsi="Times New Roman" w:cs="Times New Roman"/>
                <w:spacing w:val="4"/>
                <w:sz w:val="24"/>
                <w:szCs w:val="24"/>
              </w:rPr>
            </w:pPr>
            <w:r>
              <w:rPr>
                <w:rFonts w:ascii="Times New Roman" w:hAnsi="Times New Roman" w:cs="Times New Roman"/>
                <w:spacing w:val="4"/>
                <w:sz w:val="24"/>
                <w:szCs w:val="24"/>
              </w:rPr>
              <w:t xml:space="preserve">      P——路面状况，以每平方米路面灰尘覆盖率表示，kg/m</w:t>
            </w:r>
            <w:r>
              <w:rPr>
                <w:rFonts w:ascii="Times New Roman" w:hAnsi="Times New Roman" w:cs="Times New Roman"/>
                <w:spacing w:val="4"/>
                <w:sz w:val="24"/>
                <w:szCs w:val="24"/>
                <w:vertAlign w:val="superscript"/>
              </w:rPr>
              <w:t>2</w:t>
            </w:r>
            <w:r>
              <w:rPr>
                <w:rFonts w:ascii="Times New Roman" w:hAnsi="Times New Roman" w:cs="Times New Roman"/>
                <w:spacing w:val="4"/>
                <w:sz w:val="24"/>
                <w:szCs w:val="24"/>
              </w:rPr>
              <w:t>；</w:t>
            </w:r>
          </w:p>
          <w:p>
            <w:pPr>
              <w:adjustRightInd w:val="0"/>
              <w:snapToGrid w:val="0"/>
              <w:spacing w:line="480" w:lineRule="exact"/>
              <w:ind w:firstLine="558" w:firstLineChars="225"/>
              <w:jc w:val="left"/>
              <w:rPr>
                <w:rFonts w:ascii="Times New Roman" w:hAnsi="Times New Roman" w:cs="Times New Roman"/>
                <w:spacing w:val="4"/>
                <w:sz w:val="24"/>
                <w:szCs w:val="24"/>
              </w:rPr>
            </w:pPr>
            <w:r>
              <w:rPr>
                <w:rFonts w:ascii="Times New Roman" w:hAnsi="Times New Roman" w:cs="Times New Roman"/>
                <w:spacing w:val="4"/>
                <w:sz w:val="24"/>
                <w:szCs w:val="24"/>
              </w:rPr>
              <w:t xml:space="preserve">      L——运输距离，km；</w:t>
            </w:r>
          </w:p>
          <w:p>
            <w:pPr>
              <w:adjustRightInd w:val="0"/>
              <w:snapToGrid w:val="0"/>
              <w:spacing w:line="480" w:lineRule="exact"/>
              <w:ind w:firstLine="558" w:firstLineChars="225"/>
              <w:jc w:val="left"/>
              <w:rPr>
                <w:rFonts w:ascii="Times New Roman" w:hAnsi="Times New Roman" w:cs="Times New Roman"/>
                <w:spacing w:val="4"/>
                <w:sz w:val="24"/>
                <w:szCs w:val="24"/>
              </w:rPr>
            </w:pPr>
            <w:r>
              <w:rPr>
                <w:rFonts w:ascii="Times New Roman" w:hAnsi="Times New Roman" w:cs="Times New Roman"/>
                <w:spacing w:val="4"/>
                <w:sz w:val="24"/>
                <w:szCs w:val="24"/>
              </w:rPr>
              <w:t xml:space="preserve">      Q——运输量，t/a；</w:t>
            </w:r>
          </w:p>
          <w:p>
            <w:pPr>
              <w:spacing w:before="50" w:line="480" w:lineRule="exact"/>
              <w:ind w:firstLine="496" w:firstLineChars="200"/>
              <w:jc w:val="left"/>
              <w:rPr>
                <w:rFonts w:ascii="Times New Roman" w:hAnsi="Times New Roman" w:cs="Times New Roman"/>
                <w:spacing w:val="4"/>
                <w:sz w:val="24"/>
                <w:szCs w:val="24"/>
              </w:rPr>
            </w:pPr>
            <w:r>
              <w:rPr>
                <w:rFonts w:ascii="Times New Roman" w:hAnsi="Times New Roman" w:cs="Times New Roman"/>
                <w:spacing w:val="4"/>
                <w:sz w:val="24"/>
                <w:szCs w:val="24"/>
              </w:rPr>
              <w:t>运输过程各路段起尘量估算见表7-1。</w:t>
            </w:r>
          </w:p>
          <w:p>
            <w:pPr>
              <w:adjustRightInd w:val="0"/>
              <w:spacing w:line="480" w:lineRule="exac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表7-1 运输过程各路段起尘量估算</w:t>
            </w:r>
          </w:p>
          <w:tbl>
            <w:tblPr>
              <w:tblStyle w:val="40"/>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99"/>
              <w:gridCol w:w="641"/>
              <w:gridCol w:w="1264"/>
              <w:gridCol w:w="979"/>
              <w:gridCol w:w="1079"/>
              <w:gridCol w:w="1390"/>
              <w:gridCol w:w="1159"/>
              <w:gridCol w:w="13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97" w:hRule="atLeast"/>
                <w:jc w:val="center"/>
              </w:trPr>
              <w:tc>
                <w:tcPr>
                  <w:tcW w:w="119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路段</w:t>
                  </w:r>
                </w:p>
              </w:tc>
              <w:tc>
                <w:tcPr>
                  <w:tcW w:w="64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货物</w:t>
                  </w:r>
                </w:p>
              </w:tc>
              <w:tc>
                <w:tcPr>
                  <w:tcW w:w="1262" w:type="dxa"/>
                  <w:tcBorders>
                    <w:tl2br w:val="nil"/>
                    <w:tr2bl w:val="nil"/>
                  </w:tcBorders>
                  <w:vAlign w:val="center"/>
                </w:tcPr>
                <w:p>
                  <w:pPr>
                    <w:ind w:left="-107" w:leftChars="-51" w:right="-92" w:rightChars="-44" w:firstLine="1"/>
                    <w:jc w:val="center"/>
                    <w:rPr>
                      <w:rFonts w:ascii="Times New Roman" w:hAnsi="Times New Roman" w:cs="Times New Roman"/>
                      <w:szCs w:val="21"/>
                    </w:rPr>
                  </w:pPr>
                  <w:r>
                    <w:rPr>
                      <w:rFonts w:ascii="Times New Roman" w:hAnsi="Times New Roman" w:cs="Times New Roman"/>
                      <w:szCs w:val="21"/>
                    </w:rPr>
                    <w:t>P</w:t>
                  </w:r>
                </w:p>
                <w:p>
                  <w:pPr>
                    <w:ind w:left="-107" w:leftChars="-51" w:right="-92" w:rightChars="-44" w:firstLine="1"/>
                    <w:jc w:val="center"/>
                    <w:rPr>
                      <w:rFonts w:ascii="Times New Roman" w:hAnsi="Times New Roman" w:cs="Times New Roman"/>
                      <w:szCs w:val="21"/>
                    </w:rPr>
                  </w:pPr>
                  <w:r>
                    <w:rPr>
                      <w:rFonts w:ascii="Times New Roman" w:hAnsi="Times New Roman" w:cs="Times New Roman"/>
                      <w:szCs w:val="21"/>
                    </w:rPr>
                    <w:t>（kg/m</w:t>
                  </w:r>
                  <w:r>
                    <w:rPr>
                      <w:rFonts w:ascii="Times New Roman" w:hAnsi="Times New Roman" w:cs="Times New Roman"/>
                      <w:szCs w:val="21"/>
                      <w:vertAlign w:val="superscript"/>
                    </w:rPr>
                    <w:t>2</w:t>
                  </w:r>
                  <w:r>
                    <w:rPr>
                      <w:rFonts w:ascii="Times New Roman" w:hAnsi="Times New Roman" w:cs="Times New Roman"/>
                      <w:szCs w:val="21"/>
                    </w:rPr>
                    <w:t>）</w:t>
                  </w:r>
                </w:p>
              </w:tc>
              <w:tc>
                <w:tcPr>
                  <w:tcW w:w="977" w:type="dxa"/>
                  <w:tcBorders>
                    <w:tl2br w:val="nil"/>
                    <w:tr2bl w:val="nil"/>
                  </w:tcBorders>
                  <w:vAlign w:val="center"/>
                </w:tcPr>
                <w:p>
                  <w:pPr>
                    <w:ind w:leftChars="-38" w:hanging="79" w:hangingChars="38"/>
                    <w:jc w:val="center"/>
                    <w:rPr>
                      <w:rFonts w:ascii="Times New Roman" w:hAnsi="Times New Roman" w:cs="Times New Roman"/>
                      <w:szCs w:val="21"/>
                    </w:rPr>
                  </w:pPr>
                  <w:r>
                    <w:rPr>
                      <w:rFonts w:ascii="Times New Roman" w:hAnsi="Times New Roman" w:cs="Times New Roman"/>
                      <w:szCs w:val="21"/>
                    </w:rPr>
                    <w:t>V</w:t>
                  </w:r>
                </w:p>
                <w:p>
                  <w:pPr>
                    <w:ind w:right="-99" w:rightChars="-47"/>
                    <w:rPr>
                      <w:rFonts w:ascii="Times New Roman" w:hAnsi="Times New Roman" w:cs="Times New Roman"/>
                      <w:szCs w:val="21"/>
                    </w:rPr>
                  </w:pPr>
                  <w:r>
                    <w:rPr>
                      <w:rFonts w:ascii="Times New Roman" w:hAnsi="Times New Roman" w:cs="Times New Roman"/>
                      <w:szCs w:val="21"/>
                    </w:rPr>
                    <w:t>（km/h）</w:t>
                  </w:r>
                </w:p>
              </w:tc>
              <w:tc>
                <w:tcPr>
                  <w:tcW w:w="107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M</w:t>
                  </w:r>
                </w:p>
                <w:p>
                  <w:pPr>
                    <w:jc w:val="center"/>
                    <w:rPr>
                      <w:rFonts w:ascii="Times New Roman" w:hAnsi="Times New Roman" w:cs="Times New Roman"/>
                      <w:szCs w:val="21"/>
                    </w:rPr>
                  </w:pPr>
                  <w:r>
                    <w:rPr>
                      <w:rFonts w:ascii="Times New Roman" w:hAnsi="Times New Roman" w:cs="Times New Roman"/>
                      <w:szCs w:val="21"/>
                    </w:rPr>
                    <w:t>（t/辆）</w:t>
                  </w:r>
                </w:p>
              </w:tc>
              <w:tc>
                <w:tcPr>
                  <w:tcW w:w="138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Q</w:t>
                  </w:r>
                </w:p>
                <w:p>
                  <w:pPr>
                    <w:jc w:val="center"/>
                    <w:rPr>
                      <w:rFonts w:ascii="Times New Roman" w:hAnsi="Times New Roman" w:cs="Times New Roman"/>
                      <w:szCs w:val="21"/>
                    </w:rPr>
                  </w:pPr>
                  <w:r>
                    <w:rPr>
                      <w:rFonts w:ascii="Times New Roman" w:hAnsi="Times New Roman" w:cs="Times New Roman"/>
                      <w:szCs w:val="21"/>
                    </w:rPr>
                    <w:t>（万t/a）</w:t>
                  </w:r>
                </w:p>
              </w:tc>
              <w:tc>
                <w:tcPr>
                  <w:tcW w:w="115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L</w:t>
                  </w:r>
                </w:p>
                <w:p>
                  <w:pPr>
                    <w:jc w:val="center"/>
                    <w:rPr>
                      <w:rFonts w:ascii="Times New Roman" w:hAnsi="Times New Roman" w:cs="Times New Roman"/>
                      <w:szCs w:val="21"/>
                    </w:rPr>
                  </w:pPr>
                  <w:r>
                    <w:rPr>
                      <w:rFonts w:ascii="Times New Roman" w:hAnsi="Times New Roman" w:cs="Times New Roman"/>
                      <w:szCs w:val="21"/>
                    </w:rPr>
                    <w:t>（km）</w:t>
                  </w:r>
                </w:p>
              </w:tc>
              <w:tc>
                <w:tcPr>
                  <w:tcW w:w="134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lang w:val="es-VE"/>
                    </w:rPr>
                    <w:t>Q</w:t>
                  </w:r>
                  <w:r>
                    <w:rPr>
                      <w:rFonts w:ascii="Times New Roman" w:hAnsi="Times New Roman" w:cs="Times New Roman"/>
                      <w:szCs w:val="21"/>
                    </w:rPr>
                    <w:t>′</w:t>
                  </w:r>
                  <w:r>
                    <w:rPr>
                      <w:rFonts w:ascii="Times New Roman" w:hAnsi="Times New Roman" w:cs="Times New Roman"/>
                      <w:szCs w:val="21"/>
                      <w:vertAlign w:val="subscript"/>
                      <w:lang w:val="es-VE"/>
                    </w:rPr>
                    <w:t>p</w:t>
                  </w:r>
                </w:p>
                <w:p>
                  <w:pPr>
                    <w:jc w:val="center"/>
                    <w:rPr>
                      <w:rFonts w:ascii="Times New Roman" w:hAnsi="Times New Roman" w:cs="Times New Roman"/>
                      <w:szCs w:val="21"/>
                    </w:rPr>
                  </w:pPr>
                  <w:r>
                    <w:rPr>
                      <w:rFonts w:ascii="Times New Roman" w:hAnsi="Times New Roman" w:cs="Times New Roman"/>
                      <w:szCs w:val="21"/>
                    </w:rPr>
                    <w:t>（kg/a）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98" w:type="dxa"/>
                  <w:vMerge w:val="restart"/>
                  <w:tcBorders>
                    <w:tl2br w:val="nil"/>
                    <w:tr2bl w:val="nil"/>
                  </w:tcBorders>
                  <w:vAlign w:val="center"/>
                </w:tcPr>
                <w:p>
                  <w:pPr>
                    <w:ind w:left="-99" w:leftChars="-47" w:right="-107" w:rightChars="-51"/>
                    <w:jc w:val="center"/>
                    <w:rPr>
                      <w:rFonts w:ascii="Times New Roman" w:hAnsi="Times New Roman" w:cs="Times New Roman"/>
                      <w:szCs w:val="21"/>
                    </w:rPr>
                  </w:pPr>
                  <w:r>
                    <w:rPr>
                      <w:rFonts w:ascii="Times New Roman" w:hAnsi="Times New Roman" w:cs="Times New Roman"/>
                      <w:szCs w:val="21"/>
                    </w:rPr>
                    <w:t>进出厂道路</w:t>
                  </w:r>
                </w:p>
              </w:tc>
              <w:tc>
                <w:tcPr>
                  <w:tcW w:w="64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原料</w:t>
                  </w:r>
                </w:p>
              </w:tc>
              <w:tc>
                <w:tcPr>
                  <w:tcW w:w="126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0.05</w:t>
                  </w:r>
                </w:p>
              </w:tc>
              <w:tc>
                <w:tcPr>
                  <w:tcW w:w="97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40</w:t>
                  </w:r>
                </w:p>
              </w:tc>
              <w:tc>
                <w:tcPr>
                  <w:tcW w:w="107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20</w:t>
                  </w:r>
                </w:p>
              </w:tc>
              <w:tc>
                <w:tcPr>
                  <w:tcW w:w="138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15</w:t>
                  </w:r>
                </w:p>
              </w:tc>
              <w:tc>
                <w:tcPr>
                  <w:tcW w:w="115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0.</w:t>
                  </w:r>
                  <w:r>
                    <w:rPr>
                      <w:rFonts w:hint="eastAsia" w:ascii="Times New Roman" w:hAnsi="Times New Roman" w:cs="Times New Roman"/>
                      <w:szCs w:val="21"/>
                    </w:rPr>
                    <w:t>1</w:t>
                  </w:r>
                </w:p>
              </w:tc>
              <w:tc>
                <w:tcPr>
                  <w:tcW w:w="1340" w:type="dxa"/>
                  <w:tcBorders>
                    <w:tl2br w:val="nil"/>
                    <w:tr2bl w:val="nil"/>
                  </w:tcBorders>
                  <w:vAlign w:val="center"/>
                </w:tcPr>
                <w:p>
                  <w:pPr>
                    <w:ind w:left="-146" w:leftChars="-70" w:right="-134" w:rightChars="-64" w:hanging="1"/>
                    <w:jc w:val="center"/>
                    <w:rPr>
                      <w:rFonts w:ascii="Times New Roman" w:hAnsi="Times New Roman" w:cs="Times New Roman"/>
                      <w:szCs w:val="21"/>
                    </w:rPr>
                  </w:pPr>
                  <w:r>
                    <w:rPr>
                      <w:rFonts w:ascii="Times New Roman" w:hAnsi="Times New Roman" w:cs="Times New Roman"/>
                      <w:szCs w:val="21"/>
                    </w:rPr>
                    <w:t>232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98" w:type="dxa"/>
                  <w:vMerge w:val="continue"/>
                  <w:tcBorders>
                    <w:tl2br w:val="nil"/>
                    <w:tr2bl w:val="nil"/>
                  </w:tcBorders>
                  <w:vAlign w:val="center"/>
                </w:tcPr>
                <w:p>
                  <w:pPr>
                    <w:ind w:left="-99" w:leftChars="-47" w:right="-107" w:rightChars="-51"/>
                    <w:jc w:val="center"/>
                    <w:rPr>
                      <w:rFonts w:ascii="Times New Roman" w:hAnsi="Times New Roman" w:cs="Times New Roman"/>
                      <w:szCs w:val="21"/>
                    </w:rPr>
                  </w:pPr>
                </w:p>
              </w:tc>
              <w:tc>
                <w:tcPr>
                  <w:tcW w:w="64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产品</w:t>
                  </w:r>
                </w:p>
              </w:tc>
              <w:tc>
                <w:tcPr>
                  <w:tcW w:w="126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0.05</w:t>
                  </w:r>
                </w:p>
              </w:tc>
              <w:tc>
                <w:tcPr>
                  <w:tcW w:w="97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40</w:t>
                  </w:r>
                </w:p>
              </w:tc>
              <w:tc>
                <w:tcPr>
                  <w:tcW w:w="107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20</w:t>
                  </w:r>
                </w:p>
              </w:tc>
              <w:tc>
                <w:tcPr>
                  <w:tcW w:w="138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15</w:t>
                  </w:r>
                </w:p>
              </w:tc>
              <w:tc>
                <w:tcPr>
                  <w:tcW w:w="115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0.</w:t>
                  </w:r>
                  <w:r>
                    <w:rPr>
                      <w:rFonts w:hint="eastAsia" w:ascii="Times New Roman" w:hAnsi="Times New Roman" w:cs="Times New Roman"/>
                      <w:szCs w:val="21"/>
                    </w:rPr>
                    <w:t>1</w:t>
                  </w:r>
                </w:p>
              </w:tc>
              <w:tc>
                <w:tcPr>
                  <w:tcW w:w="1340" w:type="dxa"/>
                  <w:tcBorders>
                    <w:tl2br w:val="nil"/>
                    <w:tr2bl w:val="nil"/>
                  </w:tcBorders>
                  <w:vAlign w:val="center"/>
                </w:tcPr>
                <w:p>
                  <w:pPr>
                    <w:ind w:left="-146" w:leftChars="-70" w:right="-134" w:rightChars="-64" w:hanging="1"/>
                    <w:jc w:val="center"/>
                    <w:rPr>
                      <w:rFonts w:ascii="Times New Roman" w:hAnsi="Times New Roman" w:cs="Times New Roman"/>
                      <w:szCs w:val="21"/>
                    </w:rPr>
                  </w:pPr>
                  <w:r>
                    <w:rPr>
                      <w:rFonts w:ascii="Times New Roman" w:hAnsi="Times New Roman" w:cs="Times New Roman"/>
                      <w:szCs w:val="21"/>
                    </w:rPr>
                    <w:t>232</w:t>
                  </w:r>
                </w:p>
              </w:tc>
            </w:tr>
          </w:tbl>
          <w:p>
            <w:pPr>
              <w:spacing w:before="50" w:line="480" w:lineRule="exact"/>
              <w:ind w:firstLine="496" w:firstLineChars="200"/>
              <w:jc w:val="left"/>
              <w:rPr>
                <w:rFonts w:ascii="Times New Roman" w:hAnsi="Times New Roman" w:cs="Times New Roman"/>
                <w:spacing w:val="4"/>
                <w:sz w:val="24"/>
                <w:szCs w:val="24"/>
              </w:rPr>
            </w:pPr>
            <w:r>
              <w:rPr>
                <w:rFonts w:ascii="Times New Roman" w:hAnsi="Times New Roman" w:cs="Times New Roman"/>
                <w:spacing w:val="4"/>
                <w:sz w:val="24"/>
                <w:szCs w:val="24"/>
              </w:rPr>
              <w:t>汽车运输扬尘主要是沿途超载抛洒及道路行驶引起的二次扬尘，因此，本评价对物料运输提出具体要求：</w:t>
            </w:r>
          </w:p>
          <w:p>
            <w:pPr>
              <w:spacing w:before="50" w:line="480" w:lineRule="exact"/>
              <w:ind w:firstLine="496" w:firstLineChars="200"/>
              <w:jc w:val="left"/>
              <w:rPr>
                <w:rFonts w:ascii="Times New Roman" w:hAnsi="Times New Roman" w:cs="Times New Roman"/>
                <w:spacing w:val="4"/>
                <w:sz w:val="24"/>
                <w:szCs w:val="24"/>
              </w:rPr>
            </w:pPr>
            <w:r>
              <w:rPr>
                <w:rFonts w:ascii="Times New Roman" w:hAnsi="Times New Roman" w:cs="Times New Roman"/>
                <w:spacing w:val="4"/>
                <w:sz w:val="24"/>
                <w:szCs w:val="24"/>
              </w:rPr>
              <w:t>原料及产品在运输、装卸过程中，配备</w:t>
            </w:r>
            <w:r>
              <w:rPr>
                <w:rFonts w:hint="eastAsia" w:ascii="Times New Roman" w:hAnsi="Times New Roman" w:cs="Times New Roman"/>
                <w:spacing w:val="4"/>
                <w:sz w:val="24"/>
                <w:szCs w:val="24"/>
              </w:rPr>
              <w:t>1台</w:t>
            </w:r>
            <w:r>
              <w:rPr>
                <w:rFonts w:ascii="Times New Roman" w:hAnsi="Times New Roman" w:cs="Times New Roman"/>
                <w:spacing w:val="4"/>
                <w:sz w:val="24"/>
                <w:szCs w:val="24"/>
              </w:rPr>
              <w:t>移动式</w:t>
            </w:r>
            <w:r>
              <w:rPr>
                <w:rFonts w:ascii="Times New Roman" w:hAnsi="Times New Roman" w:cs="Times New Roman"/>
                <w:sz w:val="24"/>
              </w:rPr>
              <w:t>洒水机进行洒水抑尘，</w:t>
            </w:r>
            <w:r>
              <w:rPr>
                <w:rFonts w:ascii="Times New Roman" w:hAnsi="Times New Roman" w:cs="Times New Roman"/>
                <w:spacing w:val="4"/>
                <w:sz w:val="24"/>
                <w:szCs w:val="24"/>
              </w:rPr>
              <w:t>限制汽车超载超速、运输车辆加盖篷布、运输汽车出场前对轮胎、清洗车体并及时清扫路面、道路硬化</w:t>
            </w:r>
            <w:r>
              <w:rPr>
                <w:rFonts w:hint="eastAsia" w:ascii="Times New Roman" w:hAnsi="Times New Roman" w:cs="Times New Roman"/>
                <w:spacing w:val="4"/>
                <w:sz w:val="24"/>
                <w:szCs w:val="24"/>
              </w:rPr>
              <w:t>（要求对厂区道路全部进行硬化，硬化面积约为1000m</w:t>
            </w:r>
            <w:r>
              <w:rPr>
                <w:rFonts w:hint="eastAsia" w:ascii="Times New Roman" w:hAnsi="Times New Roman" w:cs="Times New Roman"/>
                <w:spacing w:val="4"/>
                <w:sz w:val="24"/>
                <w:szCs w:val="24"/>
                <w:vertAlign w:val="superscript"/>
              </w:rPr>
              <w:t>2</w:t>
            </w:r>
            <w:r>
              <w:rPr>
                <w:rFonts w:hint="eastAsia" w:ascii="Times New Roman" w:hAnsi="Times New Roman" w:cs="Times New Roman"/>
                <w:spacing w:val="4"/>
                <w:sz w:val="24"/>
                <w:szCs w:val="24"/>
              </w:rPr>
              <w:t>）</w:t>
            </w:r>
            <w:r>
              <w:rPr>
                <w:rFonts w:ascii="Times New Roman" w:hAnsi="Times New Roman" w:cs="Times New Roman"/>
                <w:spacing w:val="4"/>
                <w:sz w:val="24"/>
                <w:szCs w:val="24"/>
              </w:rPr>
              <w:t>，厂区与主干道公路连接的道路要经常清扫和洒水，保持路面清洁和相对湿度。</w:t>
            </w:r>
          </w:p>
          <w:p>
            <w:pPr>
              <w:spacing w:before="50" w:line="480" w:lineRule="exact"/>
              <w:ind w:firstLine="496" w:firstLineChars="200"/>
              <w:jc w:val="left"/>
              <w:rPr>
                <w:rFonts w:ascii="Times New Roman" w:hAnsi="Times New Roman" w:cs="Times New Roman"/>
                <w:spacing w:val="4"/>
                <w:sz w:val="24"/>
                <w:szCs w:val="24"/>
              </w:rPr>
            </w:pPr>
            <w:r>
              <w:rPr>
                <w:rFonts w:ascii="Times New Roman" w:hAnsi="Times New Roman" w:cs="Times New Roman"/>
                <w:spacing w:val="4"/>
                <w:sz w:val="24"/>
                <w:szCs w:val="24"/>
              </w:rPr>
              <w:t>运输扬尘产生量为0.</w:t>
            </w:r>
            <w:r>
              <w:rPr>
                <w:rFonts w:hint="eastAsia" w:ascii="Times New Roman" w:hAnsi="Times New Roman" w:cs="Times New Roman"/>
                <w:spacing w:val="4"/>
                <w:sz w:val="24"/>
                <w:szCs w:val="24"/>
              </w:rPr>
              <w:t>35</w:t>
            </w:r>
            <w:r>
              <w:rPr>
                <w:rFonts w:ascii="Times New Roman" w:hAnsi="Times New Roman" w:cs="Times New Roman"/>
                <w:spacing w:val="4"/>
                <w:sz w:val="24"/>
                <w:szCs w:val="24"/>
              </w:rPr>
              <w:t>t/a，采取环评要求的措施后，可抑尘80%，道路扬尘排放量为0.</w:t>
            </w:r>
            <w:r>
              <w:rPr>
                <w:rFonts w:hint="eastAsia" w:ascii="Times New Roman" w:hAnsi="Times New Roman" w:cs="Times New Roman"/>
                <w:spacing w:val="4"/>
                <w:sz w:val="24"/>
                <w:szCs w:val="24"/>
              </w:rPr>
              <w:t>07</w:t>
            </w:r>
            <w:r>
              <w:rPr>
                <w:rFonts w:ascii="Times New Roman" w:hAnsi="Times New Roman" w:cs="Times New Roman"/>
                <w:spacing w:val="4"/>
                <w:sz w:val="24"/>
                <w:szCs w:val="24"/>
              </w:rPr>
              <w:t>t/a。</w:t>
            </w:r>
          </w:p>
          <w:p>
            <w:pPr>
              <w:spacing w:line="500" w:lineRule="exact"/>
              <w:ind w:left="420" w:leftChars="200"/>
              <w:rPr>
                <w:rFonts w:ascii="Times New Roman" w:hAnsi="Times New Roman" w:cs="Times New Roman"/>
                <w:b/>
                <w:sz w:val="24"/>
                <w:szCs w:val="24"/>
              </w:rPr>
            </w:pPr>
            <w:r>
              <w:rPr>
                <w:rFonts w:ascii="Times New Roman" w:hAnsi="Times New Roman" w:cs="Times New Roman"/>
                <w:b/>
                <w:sz w:val="24"/>
                <w:szCs w:val="24"/>
              </w:rPr>
              <w:t>（2）原料</w:t>
            </w:r>
            <w:r>
              <w:rPr>
                <w:rFonts w:hint="eastAsia" w:ascii="Times New Roman" w:hAnsi="Times New Roman" w:cs="Times New Roman"/>
                <w:b/>
                <w:sz w:val="24"/>
                <w:szCs w:val="24"/>
                <w:lang w:eastAsia="zh-CN"/>
              </w:rPr>
              <w:t>进料、</w:t>
            </w:r>
            <w:r>
              <w:rPr>
                <w:rFonts w:ascii="Times New Roman" w:hAnsi="Times New Roman" w:cs="Times New Roman"/>
                <w:b/>
                <w:sz w:val="24"/>
                <w:szCs w:val="24"/>
              </w:rPr>
              <w:t>破碎</w:t>
            </w:r>
            <w:r>
              <w:rPr>
                <w:rFonts w:hint="eastAsia" w:ascii="Times New Roman" w:hAnsi="Times New Roman" w:cs="Times New Roman"/>
                <w:b/>
                <w:sz w:val="24"/>
                <w:szCs w:val="24"/>
              </w:rPr>
              <w:t>、振筛</w:t>
            </w:r>
            <w:r>
              <w:rPr>
                <w:rFonts w:ascii="Times New Roman" w:hAnsi="Times New Roman" w:cs="Times New Roman"/>
                <w:b/>
                <w:sz w:val="24"/>
                <w:szCs w:val="24"/>
              </w:rPr>
              <w:t>产生的粉尘</w:t>
            </w:r>
          </w:p>
          <w:p>
            <w:pPr>
              <w:spacing w:line="480" w:lineRule="exact"/>
              <w:ind w:firstLine="496" w:firstLineChars="207"/>
              <w:rPr>
                <w:rFonts w:ascii="Times New Roman" w:hAnsi="Times New Roman" w:cs="Times New Roman"/>
                <w:sz w:val="24"/>
              </w:rPr>
            </w:pPr>
            <w:r>
              <w:rPr>
                <w:rFonts w:ascii="Times New Roman" w:hAnsi="Times New Roman" w:cs="Times New Roman"/>
                <w:sz w:val="24"/>
              </w:rPr>
              <w:t>项目原料需经过破碎以满足生产要求</w:t>
            </w:r>
            <w:r>
              <w:rPr>
                <w:rFonts w:hint="eastAsia" w:ascii="Times New Roman" w:hAnsi="Times New Roman" w:cs="Times New Roman"/>
                <w:sz w:val="24"/>
              </w:rPr>
              <w:t>，生产车间地面进行硬化</w:t>
            </w:r>
            <w:r>
              <w:rPr>
                <w:rFonts w:ascii="Times New Roman" w:hAnsi="Times New Roman" w:cs="Times New Roman"/>
                <w:sz w:val="24"/>
              </w:rPr>
              <w:t>。</w:t>
            </w:r>
          </w:p>
          <w:p>
            <w:pPr>
              <w:spacing w:line="480" w:lineRule="exact"/>
              <w:ind w:firstLine="480" w:firstLineChars="200"/>
              <w:rPr>
                <w:rFonts w:ascii="Times New Roman" w:hAnsi="Times New Roman" w:cs="Times New Roman"/>
                <w:sz w:val="24"/>
                <w:highlight w:val="none"/>
              </w:rPr>
            </w:pPr>
            <w:r>
              <w:rPr>
                <w:rFonts w:ascii="Times New Roman" w:hAnsi="Times New Roman" w:cs="Times New Roman"/>
                <w:sz w:val="24"/>
              </w:rPr>
              <w:t>本项目</w:t>
            </w:r>
            <w:r>
              <w:rPr>
                <w:rFonts w:hint="eastAsia" w:ascii="Times New Roman" w:hAnsi="Times New Roman" w:cs="Times New Roman"/>
                <w:sz w:val="24"/>
              </w:rPr>
              <w:t>原料</w:t>
            </w:r>
            <w:r>
              <w:rPr>
                <w:rFonts w:ascii="Times New Roman" w:hAnsi="Times New Roman" w:cs="Times New Roman"/>
                <w:sz w:val="24"/>
              </w:rPr>
              <w:t>经破碎、筛分生产出</w:t>
            </w:r>
            <w:r>
              <w:rPr>
                <w:rFonts w:hint="eastAsia" w:ascii="Times New Roman" w:hAnsi="Times New Roman" w:cs="Times New Roman"/>
                <w:sz w:val="24"/>
              </w:rPr>
              <w:t>2</w:t>
            </w:r>
            <w:r>
              <w:rPr>
                <w:rFonts w:ascii="Times New Roman" w:hAnsi="Times New Roman" w:cs="Times New Roman"/>
                <w:sz w:val="24"/>
              </w:rPr>
              <w:t>-</w:t>
            </w:r>
            <w:r>
              <w:rPr>
                <w:rFonts w:hint="eastAsia" w:ascii="Times New Roman" w:hAnsi="Times New Roman" w:cs="Times New Roman"/>
                <w:sz w:val="24"/>
              </w:rPr>
              <w:t>3c</w:t>
            </w:r>
            <w:r>
              <w:rPr>
                <w:rFonts w:ascii="Times New Roman" w:hAnsi="Times New Roman" w:cs="Times New Roman"/>
                <w:sz w:val="24"/>
              </w:rPr>
              <w:t>m</w:t>
            </w:r>
            <w:r>
              <w:rPr>
                <w:rFonts w:hint="eastAsia" w:ascii="Times New Roman" w:hAnsi="Times New Roman" w:cs="Times New Roman"/>
                <w:sz w:val="24"/>
              </w:rPr>
              <w:t>和2cm以下的石料</w:t>
            </w:r>
            <w:r>
              <w:rPr>
                <w:rFonts w:ascii="Times New Roman" w:hAnsi="Times New Roman" w:cs="Times New Roman"/>
                <w:sz w:val="24"/>
              </w:rPr>
              <w:t>。在</w:t>
            </w:r>
            <w:r>
              <w:rPr>
                <w:rFonts w:hint="eastAsia" w:ascii="Times New Roman" w:hAnsi="Times New Roman" w:cs="Times New Roman"/>
                <w:sz w:val="24"/>
                <w:lang w:eastAsia="zh-CN"/>
              </w:rPr>
              <w:t>进料机、</w:t>
            </w:r>
            <w:r>
              <w:rPr>
                <w:rFonts w:hint="eastAsia" w:ascii="Times New Roman" w:hAnsi="Times New Roman" w:cs="Times New Roman"/>
                <w:sz w:val="24"/>
              </w:rPr>
              <w:t>颚式破碎机</w:t>
            </w:r>
            <w:r>
              <w:rPr>
                <w:rFonts w:ascii="Times New Roman" w:hAnsi="Times New Roman" w:cs="Times New Roman"/>
                <w:sz w:val="24"/>
              </w:rPr>
              <w:t>、</w:t>
            </w:r>
            <w:r>
              <w:rPr>
                <w:rFonts w:hint="eastAsia" w:ascii="Times New Roman" w:hAnsi="Times New Roman" w:cs="Times New Roman"/>
                <w:sz w:val="24"/>
              </w:rPr>
              <w:t>锤式破碎机、振动筛的产尘点上方</w:t>
            </w:r>
            <w:r>
              <w:rPr>
                <w:rFonts w:ascii="Times New Roman" w:hAnsi="Times New Roman" w:cs="Times New Roman"/>
                <w:sz w:val="24"/>
              </w:rPr>
              <w:t>设集尘罩，</w:t>
            </w:r>
            <w:r>
              <w:rPr>
                <w:rFonts w:hint="eastAsia" w:ascii="Times New Roman" w:hAnsi="Times New Roman" w:cs="Times New Roman"/>
                <w:sz w:val="24"/>
              </w:rPr>
              <w:t>对生产设备了解及相同工艺调查，该生产线共</w:t>
            </w:r>
            <w:r>
              <w:rPr>
                <w:rFonts w:hint="eastAsia" w:ascii="Times New Roman" w:hAnsi="Times New Roman" w:cs="Times New Roman"/>
                <w:sz w:val="24"/>
                <w:lang w:val="en-US" w:eastAsia="zh-CN"/>
              </w:rPr>
              <w:t>6</w:t>
            </w:r>
            <w:r>
              <w:rPr>
                <w:rFonts w:hint="eastAsia" w:ascii="Times New Roman" w:hAnsi="Times New Roman" w:cs="Times New Roman"/>
                <w:sz w:val="24"/>
              </w:rPr>
              <w:t>个产尘点</w:t>
            </w:r>
            <w:r>
              <w:rPr>
                <w:rFonts w:hint="eastAsia" w:ascii="Times New Roman" w:hAnsi="Times New Roman" w:cs="Times New Roman"/>
                <w:sz w:val="24"/>
                <w:lang w:eastAsia="zh-CN"/>
              </w:rPr>
              <w:t>（根据实际情况，颚式破碎机出口设高度约</w:t>
            </w:r>
            <w:r>
              <w:rPr>
                <w:rFonts w:hint="eastAsia" w:ascii="Times New Roman" w:hAnsi="Times New Roman" w:cs="Times New Roman"/>
                <w:sz w:val="24"/>
                <w:lang w:val="en-US" w:eastAsia="zh-CN"/>
              </w:rPr>
              <w:t>0.2m的伞形集尘罩，锤式破碎机进料口和出料口设高度约为0.2m的伞形集尘罩，振动筛筛面设备自带密闭盖，振动筛进料口和出料口设高度约为0.2m的伞形集尘罩</w:t>
            </w:r>
            <w:r>
              <w:rPr>
                <w:rFonts w:hint="eastAsia" w:ascii="Times New Roman" w:hAnsi="Times New Roman" w:cs="Times New Roman"/>
                <w:sz w:val="24"/>
                <w:lang w:eastAsia="zh-CN"/>
              </w:rPr>
              <w:t>）</w:t>
            </w:r>
            <w:r>
              <w:rPr>
                <w:rFonts w:hint="eastAsia" w:ascii="Times New Roman" w:hAnsi="Times New Roman" w:cs="Times New Roman"/>
                <w:sz w:val="24"/>
              </w:rPr>
              <w:t>，故设</w:t>
            </w:r>
            <w:r>
              <w:rPr>
                <w:rFonts w:ascii="Times New Roman" w:hAnsi="Times New Roman" w:cs="Times New Roman"/>
                <w:sz w:val="24"/>
              </w:rPr>
              <w:t>采用</w:t>
            </w:r>
            <w:r>
              <w:rPr>
                <w:rFonts w:hint="eastAsia" w:ascii="Times New Roman" w:hAnsi="Times New Roman" w:cs="Times New Roman"/>
                <w:sz w:val="24"/>
                <w:lang w:val="en-US" w:eastAsia="zh-CN"/>
              </w:rPr>
              <w:t>6</w:t>
            </w:r>
            <w:r>
              <w:rPr>
                <w:rFonts w:ascii="Times New Roman" w:hAnsi="Times New Roman" w:cs="Times New Roman"/>
                <w:sz w:val="24"/>
              </w:rPr>
              <w:t>个集尘罩+1套布袋除尘器（</w:t>
            </w:r>
            <w:r>
              <w:rPr>
                <w:rFonts w:hint="eastAsia" w:ascii="Times New Roman" w:hAnsi="Times New Roman" w:cs="Times New Roman"/>
                <w:sz w:val="24"/>
              </w:rPr>
              <w:t>布袋材质为涤纶针刺毡滤袋，</w:t>
            </w:r>
            <w:r>
              <w:rPr>
                <w:rFonts w:ascii="Times New Roman" w:hAnsi="Times New Roman" w:cs="Times New Roman"/>
                <w:sz w:val="24"/>
              </w:rPr>
              <w:t>过滤风速</w:t>
            </w:r>
            <w:r>
              <w:rPr>
                <w:rFonts w:hint="eastAsia" w:ascii="Times New Roman" w:hAnsi="Times New Roman" w:cs="Times New Roman"/>
                <w:sz w:val="24"/>
                <w:lang w:val="en-US" w:eastAsia="zh-CN"/>
              </w:rPr>
              <w:t>0.6</w:t>
            </w:r>
            <w:r>
              <w:rPr>
                <w:rFonts w:ascii="Times New Roman" w:hAnsi="Times New Roman" w:cs="Times New Roman"/>
                <w:sz w:val="24"/>
              </w:rPr>
              <w:t>m/min，过滤面积</w:t>
            </w:r>
            <w:r>
              <w:rPr>
                <w:rFonts w:hint="eastAsia" w:ascii="Times New Roman" w:hAnsi="Times New Roman" w:cs="Times New Roman"/>
                <w:sz w:val="24"/>
                <w:lang w:val="en-US" w:eastAsia="zh-CN"/>
              </w:rPr>
              <w:t>850</w:t>
            </w:r>
            <w:r>
              <w:rPr>
                <w:rFonts w:ascii="Times New Roman" w:hAnsi="Times New Roman" w:cs="Times New Roman"/>
                <w:sz w:val="24"/>
              </w:rPr>
              <w:t>m</w:t>
            </w:r>
            <w:r>
              <w:rPr>
                <w:rFonts w:ascii="Times New Roman" w:hAnsi="Times New Roman" w:cs="Times New Roman"/>
                <w:sz w:val="24"/>
                <w:vertAlign w:val="superscript"/>
              </w:rPr>
              <w:t>2</w:t>
            </w:r>
            <w:r>
              <w:rPr>
                <w:rFonts w:ascii="Times New Roman" w:hAnsi="Times New Roman" w:cs="Times New Roman"/>
                <w:sz w:val="24"/>
              </w:rPr>
              <w:t>）进行处理，其集尘效率可达90%以上，风机风量为</w:t>
            </w:r>
            <w:r>
              <w:rPr>
                <w:rFonts w:hint="eastAsia" w:ascii="Times New Roman" w:hAnsi="Times New Roman" w:cs="Times New Roman"/>
                <w:sz w:val="24"/>
                <w:lang w:val="en-US" w:eastAsia="zh-CN"/>
              </w:rPr>
              <w:t>30</w:t>
            </w:r>
            <w:r>
              <w:rPr>
                <w:rFonts w:ascii="Times New Roman" w:hAnsi="Times New Roman" w:cs="Times New Roman"/>
                <w:sz w:val="24"/>
              </w:rPr>
              <w:t>000m</w:t>
            </w:r>
            <w:r>
              <w:rPr>
                <w:rFonts w:ascii="Times New Roman" w:hAnsi="Times New Roman" w:cs="Times New Roman"/>
                <w:sz w:val="24"/>
                <w:vertAlign w:val="superscript"/>
              </w:rPr>
              <w:t>3</w:t>
            </w:r>
            <w:r>
              <w:rPr>
                <w:rFonts w:ascii="Times New Roman" w:hAnsi="Times New Roman" w:cs="Times New Roman"/>
                <w:sz w:val="24"/>
              </w:rPr>
              <w:t>/h</w:t>
            </w:r>
            <w:r>
              <w:rPr>
                <w:rFonts w:hint="eastAsia" w:ascii="Times New Roman" w:hAnsi="Times New Roman" w:cs="Times New Roman"/>
                <w:sz w:val="24"/>
                <w:lang w:eastAsia="zh-CN"/>
              </w:rPr>
              <w:t>（考虑设备进料口、出料口大小，本项目集气罩设计尺寸为</w:t>
            </w:r>
            <w:r>
              <w:rPr>
                <w:rFonts w:hint="eastAsia" w:ascii="Times New Roman" w:hAnsi="Times New Roman" w:cs="Times New Roman"/>
                <w:sz w:val="24"/>
                <w:lang w:val="en-US" w:eastAsia="zh-CN"/>
              </w:rPr>
              <w:t>1m*0.8m，根据顶吸风风量计算公式：风量为K*集气罩周长*h*V</w:t>
            </w:r>
            <w:r>
              <w:rPr>
                <w:rFonts w:hint="eastAsia" w:ascii="Times New Roman" w:hAnsi="Times New Roman" w:cs="Times New Roman"/>
                <w:sz w:val="24"/>
                <w:vertAlign w:val="subscript"/>
                <w:lang w:val="en-US" w:eastAsia="zh-CN"/>
              </w:rPr>
              <w:t>0</w:t>
            </w:r>
            <w:r>
              <w:rPr>
                <w:rFonts w:hint="eastAsia" w:ascii="Times New Roman" w:hAnsi="Times New Roman" w:cs="Times New Roman"/>
                <w:sz w:val="24"/>
                <w:lang w:val="en-US" w:eastAsia="zh-CN"/>
              </w:rPr>
              <w:t>*3600，其中K=1.4、集气罩周长=3.6、h=0.2、V</w:t>
            </w:r>
            <w:r>
              <w:rPr>
                <w:rFonts w:hint="eastAsia" w:ascii="Times New Roman" w:hAnsi="Times New Roman" w:cs="Times New Roman"/>
                <w:sz w:val="24"/>
                <w:vertAlign w:val="subscript"/>
                <w:lang w:val="en-US" w:eastAsia="zh-CN"/>
              </w:rPr>
              <w:t>0</w:t>
            </w:r>
            <w:r>
              <w:rPr>
                <w:rFonts w:hint="eastAsia" w:ascii="Times New Roman" w:hAnsi="Times New Roman" w:cs="Times New Roman"/>
                <w:sz w:val="24"/>
                <w:lang w:val="en-US" w:eastAsia="zh-CN"/>
              </w:rPr>
              <w:t>=1m/s，即风量为3629m</w:t>
            </w:r>
            <w:r>
              <w:rPr>
                <w:rFonts w:hint="eastAsia" w:ascii="Times New Roman" w:hAnsi="Times New Roman" w:cs="Times New Roman"/>
                <w:sz w:val="24"/>
                <w:vertAlign w:val="superscript"/>
                <w:lang w:val="en-US" w:eastAsia="zh-CN"/>
              </w:rPr>
              <w:t>3</w:t>
            </w:r>
            <w:r>
              <w:rPr>
                <w:rFonts w:hint="eastAsia" w:ascii="Times New Roman" w:hAnsi="Times New Roman" w:cs="Times New Roman"/>
                <w:sz w:val="24"/>
                <w:lang w:val="en-US" w:eastAsia="zh-CN"/>
              </w:rPr>
              <w:t>/h，总风量为21774m</w:t>
            </w:r>
            <w:r>
              <w:rPr>
                <w:rFonts w:hint="eastAsia" w:ascii="Times New Roman" w:hAnsi="Times New Roman" w:cs="Times New Roman"/>
                <w:sz w:val="24"/>
                <w:vertAlign w:val="superscript"/>
                <w:lang w:val="en-US" w:eastAsia="zh-CN"/>
              </w:rPr>
              <w:t>3</w:t>
            </w:r>
            <w:r>
              <w:rPr>
                <w:rFonts w:hint="eastAsia" w:ascii="Times New Roman" w:hAnsi="Times New Roman" w:cs="Times New Roman"/>
                <w:sz w:val="24"/>
                <w:lang w:val="en-US" w:eastAsia="zh-CN"/>
              </w:rPr>
              <w:t>/h，本项目考虑损耗和标况，设计风机风量为30000m</w:t>
            </w:r>
            <w:r>
              <w:rPr>
                <w:rFonts w:hint="eastAsia" w:ascii="Times New Roman" w:hAnsi="Times New Roman" w:cs="Times New Roman"/>
                <w:sz w:val="24"/>
                <w:vertAlign w:val="superscript"/>
                <w:lang w:val="en-US" w:eastAsia="zh-CN"/>
              </w:rPr>
              <w:t>3</w:t>
            </w:r>
            <w:r>
              <w:rPr>
                <w:rFonts w:hint="eastAsia" w:ascii="Times New Roman" w:hAnsi="Times New Roman" w:cs="Times New Roman"/>
                <w:sz w:val="24"/>
                <w:lang w:val="en-US" w:eastAsia="zh-CN"/>
              </w:rPr>
              <w:t>/h</w:t>
            </w:r>
            <w:r>
              <w:rPr>
                <w:rFonts w:hint="eastAsia" w:ascii="Times New Roman" w:hAnsi="Times New Roman" w:cs="Times New Roman"/>
                <w:sz w:val="24"/>
                <w:lang w:eastAsia="zh-CN"/>
              </w:rPr>
              <w:t>）</w:t>
            </w:r>
            <w:r>
              <w:rPr>
                <w:rFonts w:ascii="Times New Roman" w:hAnsi="Times New Roman" w:cs="Times New Roman"/>
                <w:sz w:val="24"/>
              </w:rPr>
              <w:t>，经过类比分析，粉尘产生浓度为</w:t>
            </w:r>
            <w:r>
              <w:rPr>
                <w:rFonts w:hint="eastAsia" w:ascii="Times New Roman" w:hAnsi="Times New Roman" w:cs="Times New Roman"/>
                <w:sz w:val="24"/>
              </w:rPr>
              <w:t>3</w:t>
            </w:r>
            <w:r>
              <w:rPr>
                <w:rFonts w:ascii="Times New Roman" w:hAnsi="Times New Roman" w:cs="Times New Roman"/>
                <w:sz w:val="24"/>
              </w:rPr>
              <w:t>000mg/m</w:t>
            </w:r>
            <w:r>
              <w:rPr>
                <w:rFonts w:ascii="Times New Roman" w:hAnsi="Times New Roman" w:cs="Times New Roman"/>
                <w:sz w:val="24"/>
                <w:vertAlign w:val="superscript"/>
              </w:rPr>
              <w:t>3</w:t>
            </w:r>
            <w:r>
              <w:rPr>
                <w:rFonts w:ascii="Times New Roman" w:hAnsi="Times New Roman" w:cs="Times New Roman"/>
                <w:sz w:val="24"/>
              </w:rPr>
              <w:t>。项目破碎工段年运行300天，每天工作</w:t>
            </w:r>
            <w:r>
              <w:rPr>
                <w:rFonts w:hint="eastAsia" w:ascii="Times New Roman" w:hAnsi="Times New Roman" w:cs="Times New Roman"/>
                <w:sz w:val="24"/>
              </w:rPr>
              <w:t>8</w:t>
            </w:r>
            <w:r>
              <w:rPr>
                <w:rFonts w:ascii="Times New Roman" w:hAnsi="Times New Roman" w:cs="Times New Roman"/>
                <w:sz w:val="24"/>
              </w:rPr>
              <w:t>小时，粉尘的产生量为</w:t>
            </w:r>
            <w:r>
              <w:rPr>
                <w:rFonts w:hint="eastAsia" w:ascii="Times New Roman" w:hAnsi="Times New Roman" w:cs="Times New Roman"/>
                <w:sz w:val="24"/>
                <w:lang w:val="en-US" w:eastAsia="zh-CN"/>
              </w:rPr>
              <w:t>216</w:t>
            </w:r>
            <w:r>
              <w:rPr>
                <w:rFonts w:ascii="Times New Roman" w:hAnsi="Times New Roman" w:cs="Times New Roman"/>
                <w:sz w:val="24"/>
              </w:rPr>
              <w:t>t/a。经袋式除尘器处理后，除尘效率</w:t>
            </w:r>
            <w:r>
              <w:rPr>
                <w:rFonts w:hint="eastAsia" w:ascii="Times New Roman" w:hAnsi="Times New Roman" w:cs="Times New Roman"/>
                <w:sz w:val="24"/>
              </w:rPr>
              <w:t>可达99</w:t>
            </w:r>
            <w:r>
              <w:rPr>
                <w:rFonts w:ascii="Times New Roman" w:hAnsi="Times New Roman" w:cs="Times New Roman"/>
                <w:sz w:val="24"/>
              </w:rPr>
              <w:t>%，粉尘排放浓度为</w:t>
            </w:r>
            <w:r>
              <w:rPr>
                <w:rFonts w:hint="eastAsia" w:ascii="Times New Roman" w:hAnsi="Times New Roman" w:cs="Times New Roman"/>
                <w:sz w:val="24"/>
              </w:rPr>
              <w:t>20</w:t>
            </w:r>
            <w:r>
              <w:rPr>
                <w:rFonts w:ascii="Times New Roman" w:hAnsi="Times New Roman" w:cs="Times New Roman"/>
                <w:sz w:val="24"/>
              </w:rPr>
              <w:t>mg/m</w:t>
            </w:r>
            <w:r>
              <w:rPr>
                <w:rFonts w:ascii="Times New Roman" w:hAnsi="Times New Roman" w:cs="Times New Roman"/>
                <w:sz w:val="24"/>
                <w:vertAlign w:val="superscript"/>
              </w:rPr>
              <w:t>3</w:t>
            </w:r>
            <w:r>
              <w:rPr>
                <w:rFonts w:hint="eastAsia" w:ascii="Times New Roman" w:hAnsi="Times New Roman" w:cs="Times New Roman"/>
                <w:sz w:val="24"/>
              </w:rPr>
              <w:t>；排放速率为0.</w:t>
            </w:r>
            <w:r>
              <w:rPr>
                <w:rFonts w:hint="eastAsia" w:ascii="Times New Roman" w:hAnsi="Times New Roman" w:cs="Times New Roman"/>
                <w:sz w:val="24"/>
                <w:lang w:val="en-US" w:eastAsia="zh-CN"/>
              </w:rPr>
              <w:t>6</w:t>
            </w:r>
            <w:r>
              <w:rPr>
                <w:rFonts w:hint="eastAsia" w:ascii="Times New Roman" w:hAnsi="Times New Roman" w:cs="Times New Roman"/>
                <w:sz w:val="24"/>
              </w:rPr>
              <w:t>0kg/h；</w:t>
            </w:r>
            <w:r>
              <w:rPr>
                <w:rFonts w:ascii="Times New Roman" w:hAnsi="Times New Roman" w:cs="Times New Roman"/>
                <w:sz w:val="24"/>
              </w:rPr>
              <w:t>则粉尘有组织排放量为</w:t>
            </w:r>
            <w:r>
              <w:rPr>
                <w:rFonts w:hint="eastAsia" w:ascii="Times New Roman" w:hAnsi="Times New Roman" w:cs="Times New Roman"/>
                <w:sz w:val="24"/>
                <w:lang w:val="en-US" w:eastAsia="zh-CN"/>
              </w:rPr>
              <w:t>1.44</w:t>
            </w:r>
            <w:r>
              <w:rPr>
                <w:rFonts w:ascii="Times New Roman" w:hAnsi="Times New Roman" w:cs="Times New Roman"/>
                <w:sz w:val="24"/>
              </w:rPr>
              <w:t>t/a，废气通过15m高的排气筒外</w:t>
            </w:r>
            <w:r>
              <w:rPr>
                <w:rFonts w:ascii="Times New Roman" w:hAnsi="Times New Roman" w:cs="Times New Roman"/>
                <w:sz w:val="24"/>
                <w:highlight w:val="none"/>
              </w:rPr>
              <w:t>排</w:t>
            </w:r>
            <w:r>
              <w:rPr>
                <w:rFonts w:hint="eastAsia" w:ascii="Times New Roman" w:hAnsi="Times New Roman" w:cs="Times New Roman"/>
                <w:sz w:val="24"/>
                <w:highlight w:val="none"/>
              </w:rPr>
              <w:t>；除尘器卸灰口应设软连接、接灰袋</w:t>
            </w:r>
            <w:r>
              <w:rPr>
                <w:rFonts w:ascii="Times New Roman" w:hAnsi="Times New Roman" w:cs="Times New Roman"/>
                <w:sz w:val="24"/>
                <w:highlight w:val="none"/>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rPr>
              <w:t>为了减少无组织排放的粉尘量对环境的影响，环评要求将生产线置于封闭车间内</w:t>
            </w:r>
            <w:r>
              <w:rPr>
                <w:rFonts w:hint="eastAsia" w:ascii="Times New Roman" w:hAnsi="Times New Roman" w:cs="Times New Roman"/>
                <w:sz w:val="24"/>
              </w:rPr>
              <w:t>，</w:t>
            </w:r>
            <w:r>
              <w:rPr>
                <w:rFonts w:ascii="Times New Roman" w:hAnsi="Times New Roman" w:cs="Times New Roman"/>
                <w:sz w:val="24"/>
              </w:rPr>
              <w:t>可降尘9</w:t>
            </w:r>
            <w:r>
              <w:rPr>
                <w:rFonts w:hint="eastAsia" w:ascii="Times New Roman" w:hAnsi="Times New Roman" w:cs="Times New Roman"/>
                <w:sz w:val="24"/>
              </w:rPr>
              <w:t>9</w:t>
            </w:r>
            <w:r>
              <w:rPr>
                <w:rFonts w:ascii="Times New Roman" w:hAnsi="Times New Roman" w:cs="Times New Roman"/>
                <w:sz w:val="24"/>
              </w:rPr>
              <w:t>%以上，因此无组织产生量为</w:t>
            </w:r>
            <w:r>
              <w:rPr>
                <w:rFonts w:hint="eastAsia" w:ascii="Times New Roman" w:hAnsi="Times New Roman" w:cs="Times New Roman"/>
                <w:sz w:val="24"/>
                <w:lang w:val="en-US" w:eastAsia="zh-CN"/>
              </w:rPr>
              <w:t>24</w:t>
            </w:r>
            <w:r>
              <w:rPr>
                <w:rFonts w:ascii="Times New Roman" w:hAnsi="Times New Roman" w:cs="Times New Roman"/>
                <w:sz w:val="24"/>
              </w:rPr>
              <w:t>t/a，排放量为</w:t>
            </w:r>
            <w:r>
              <w:rPr>
                <w:rFonts w:hint="eastAsia" w:ascii="Times New Roman" w:hAnsi="Times New Roman" w:cs="Times New Roman"/>
                <w:sz w:val="24"/>
              </w:rPr>
              <w:t>0.</w:t>
            </w:r>
            <w:r>
              <w:rPr>
                <w:rFonts w:hint="eastAsia" w:ascii="Times New Roman" w:hAnsi="Times New Roman" w:cs="Times New Roman"/>
                <w:sz w:val="24"/>
                <w:lang w:val="en-US" w:eastAsia="zh-CN"/>
              </w:rPr>
              <w:t>24</w:t>
            </w:r>
            <w:r>
              <w:rPr>
                <w:rFonts w:ascii="Times New Roman" w:hAnsi="Times New Roman" w:cs="Times New Roman"/>
                <w:sz w:val="24"/>
              </w:rPr>
              <w:t>t/a。</w:t>
            </w:r>
          </w:p>
          <w:p>
            <w:pPr>
              <w:numPr>
                <w:ilvl w:val="0"/>
                <w:numId w:val="5"/>
              </w:num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物料在原料库、成品库装卸产生的粉尘</w:t>
            </w:r>
          </w:p>
          <w:p>
            <w:pPr>
              <w:spacing w:line="360" w:lineRule="auto"/>
              <w:ind w:firstLine="480"/>
              <w:rPr>
                <w:rFonts w:ascii="Times New Roman" w:hAnsi="Times New Roman" w:cs="Times New Roman"/>
                <w:sz w:val="24"/>
              </w:rPr>
            </w:pPr>
            <w:r>
              <w:rPr>
                <w:rFonts w:ascii="Times New Roman" w:hAnsi="Times New Roman" w:cs="Times New Roman"/>
                <w:sz w:val="24"/>
              </w:rPr>
              <w:t>原料库、成品库后装卸过程中易产生扬尘，起尘量与装卸高度、含水率、风速等有关，装卸起尘量参照码头装卸起尘量公式计算：</w:t>
            </w:r>
          </w:p>
          <w:p>
            <w:pPr>
              <w:spacing w:line="360" w:lineRule="auto"/>
              <w:jc w:val="center"/>
              <w:rPr>
                <w:rFonts w:ascii="Times New Roman" w:hAnsi="Times New Roman" w:cs="Times New Roman"/>
              </w:rPr>
            </w:pPr>
            <w:r>
              <w:rPr>
                <w:rFonts w:ascii="Times New Roman" w:hAnsi="Times New Roman" w:cs="Times New Roman"/>
                <w:position w:val="-10"/>
              </w:rPr>
              <w:object>
                <v:shape id="_x0000_i1025" o:spt="75" type="#_x0000_t75" style="height:18.15pt;width:160.9pt;" o:ole="t" filled="f" o:preferrelative="t" stroked="f" coordsize="21600,21600">
                  <v:path/>
                  <v:fill on="f" focussize="0,0"/>
                  <v:stroke on="f" joinstyle="miter"/>
                  <v:imagedata r:id="rId12" embosscolor="#FFFFFF" o:title=""/>
                  <o:lock v:ext="edit" aspectratio="t"/>
                  <w10:wrap type="none"/>
                  <w10:anchorlock/>
                </v:shape>
                <o:OLEObject Type="Embed" ProgID="Equation.3" ShapeID="_x0000_i1025" DrawAspect="Content" ObjectID="_1468075725" r:id="rId11">
                  <o:LockedField>false</o:LockedField>
                </o:OLEObject>
              </w:object>
            </w:r>
          </w:p>
          <w:p>
            <w:pPr>
              <w:spacing w:line="360" w:lineRule="auto"/>
              <w:rPr>
                <w:rFonts w:ascii="Times New Roman" w:hAnsi="Times New Roman" w:cs="Times New Roman"/>
                <w:sz w:val="24"/>
              </w:rPr>
            </w:pPr>
            <w:r>
              <w:rPr>
                <w:rFonts w:ascii="Times New Roman" w:hAnsi="Times New Roman" w:cs="Times New Roman"/>
                <w:sz w:val="24"/>
              </w:rPr>
              <w:t>式中：Q——装卸扬尘量，mg/s；</w:t>
            </w:r>
          </w:p>
          <w:p>
            <w:pPr>
              <w:spacing w:line="360" w:lineRule="auto"/>
              <w:rPr>
                <w:rFonts w:ascii="Times New Roman" w:hAnsi="Times New Roman" w:cs="Times New Roman"/>
                <w:sz w:val="24"/>
              </w:rPr>
            </w:pPr>
            <w:r>
              <w:rPr>
                <w:rFonts w:ascii="Times New Roman" w:hAnsi="Times New Roman" w:cs="Times New Roman"/>
                <w:sz w:val="24"/>
              </w:rPr>
              <w:t xml:space="preserve">      U——当地平均风速，m/s；</w:t>
            </w:r>
          </w:p>
          <w:p>
            <w:pPr>
              <w:spacing w:line="360" w:lineRule="auto"/>
              <w:rPr>
                <w:rFonts w:ascii="Times New Roman" w:hAnsi="Times New Roman" w:cs="Times New Roman"/>
                <w:sz w:val="24"/>
              </w:rPr>
            </w:pPr>
            <w:r>
              <w:rPr>
                <w:rFonts w:ascii="Times New Roman" w:hAnsi="Times New Roman" w:cs="Times New Roman"/>
                <w:sz w:val="24"/>
              </w:rPr>
              <w:t xml:space="preserve">      H——物料落差，m；</w:t>
            </w:r>
          </w:p>
          <w:p>
            <w:pPr>
              <w:spacing w:line="360" w:lineRule="auto"/>
              <w:rPr>
                <w:rFonts w:ascii="Times New Roman" w:hAnsi="Times New Roman" w:cs="Times New Roman"/>
                <w:sz w:val="24"/>
              </w:rPr>
            </w:pPr>
            <w:r>
              <w:rPr>
                <w:rFonts w:ascii="Times New Roman" w:hAnsi="Times New Roman" w:cs="Times New Roman"/>
                <w:sz w:val="24"/>
              </w:rPr>
              <w:t xml:space="preserve">      W——物料含水率，%。</w:t>
            </w:r>
          </w:p>
          <w:p>
            <w:pPr>
              <w:spacing w:line="500" w:lineRule="exact"/>
              <w:ind w:firstLine="480" w:firstLineChars="200"/>
              <w:rPr>
                <w:rFonts w:hint="eastAsia" w:ascii="Times New Roman" w:hAnsi="Times New Roman" w:cs="Times New Roman"/>
                <w:sz w:val="24"/>
              </w:rPr>
            </w:pPr>
            <w:r>
              <w:rPr>
                <w:rFonts w:ascii="Times New Roman" w:hAnsi="Times New Roman" w:cs="Times New Roman"/>
                <w:sz w:val="24"/>
              </w:rPr>
              <w:t>当地平均风速为1.5m/s，物料落差按1.0m，含水率取5%计算，得到装卸扬尘Q为7.69kg/h。装卸作业粉尘产生排放情况见表7-2。</w:t>
            </w:r>
          </w:p>
          <w:p>
            <w:pPr>
              <w:adjustRightInd w:val="0"/>
              <w:snapToGrid w:val="0"/>
              <w:jc w:val="center"/>
              <w:rPr>
                <w:rFonts w:ascii="Times New Roman" w:hAnsi="Times New Roman" w:cs="Times New Roman"/>
                <w:b/>
                <w:sz w:val="24"/>
              </w:rPr>
            </w:pPr>
            <w:r>
              <w:rPr>
                <w:rFonts w:ascii="Times New Roman" w:hAnsi="Times New Roman" w:cs="Times New Roman"/>
                <w:b/>
                <w:sz w:val="24"/>
              </w:rPr>
              <w:t>表7-2项目库房粉尘产生排放情况表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768"/>
              <w:gridCol w:w="1270"/>
              <w:gridCol w:w="1281"/>
              <w:gridCol w:w="868"/>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24" w:type="pct"/>
                  <w:vAlign w:val="center"/>
                </w:tcPr>
                <w:p>
                  <w:pPr>
                    <w:jc w:val="center"/>
                    <w:rPr>
                      <w:rFonts w:ascii="Times New Roman" w:hAnsi="Times New Roman" w:cs="Times New Roman"/>
                      <w:b/>
                      <w:szCs w:val="21"/>
                    </w:rPr>
                  </w:pPr>
                  <w:r>
                    <w:rPr>
                      <w:rFonts w:ascii="Times New Roman" w:hAnsi="Times New Roman" w:cs="Times New Roman"/>
                      <w:b/>
                      <w:szCs w:val="21"/>
                    </w:rPr>
                    <w:t>物料</w:t>
                  </w:r>
                </w:p>
              </w:tc>
              <w:tc>
                <w:tcPr>
                  <w:tcW w:w="701" w:type="pct"/>
                  <w:vAlign w:val="center"/>
                </w:tcPr>
                <w:p>
                  <w:pPr>
                    <w:jc w:val="center"/>
                    <w:rPr>
                      <w:rFonts w:ascii="Times New Roman" w:hAnsi="Times New Roman" w:cs="Times New Roman"/>
                      <w:b/>
                      <w:szCs w:val="21"/>
                    </w:rPr>
                  </w:pPr>
                  <w:r>
                    <w:rPr>
                      <w:rFonts w:ascii="Times New Roman" w:hAnsi="Times New Roman" w:cs="Times New Roman"/>
                      <w:b/>
                      <w:szCs w:val="21"/>
                    </w:rPr>
                    <w:t>产生速率</w:t>
                  </w:r>
                </w:p>
                <w:p>
                  <w:pPr>
                    <w:jc w:val="center"/>
                    <w:rPr>
                      <w:rFonts w:ascii="Times New Roman" w:hAnsi="Times New Roman" w:cs="Times New Roman"/>
                      <w:b/>
                      <w:szCs w:val="21"/>
                    </w:rPr>
                  </w:pPr>
                  <w:r>
                    <w:rPr>
                      <w:rFonts w:ascii="Times New Roman" w:hAnsi="Times New Roman" w:cs="Times New Roman"/>
                      <w:b/>
                      <w:szCs w:val="21"/>
                    </w:rPr>
                    <w:t>（kg/h）</w:t>
                  </w:r>
                </w:p>
              </w:tc>
              <w:tc>
                <w:tcPr>
                  <w:tcW w:w="707" w:type="pct"/>
                  <w:vAlign w:val="center"/>
                </w:tcPr>
                <w:p>
                  <w:pPr>
                    <w:jc w:val="center"/>
                    <w:rPr>
                      <w:rFonts w:ascii="Times New Roman" w:hAnsi="Times New Roman" w:cs="Times New Roman"/>
                      <w:b/>
                      <w:szCs w:val="21"/>
                    </w:rPr>
                  </w:pPr>
                  <w:r>
                    <w:rPr>
                      <w:rFonts w:ascii="Times New Roman" w:hAnsi="Times New Roman" w:cs="Times New Roman"/>
                      <w:b/>
                      <w:szCs w:val="21"/>
                    </w:rPr>
                    <w:t>装卸时间（h/a）</w:t>
                  </w:r>
                </w:p>
              </w:tc>
              <w:tc>
                <w:tcPr>
                  <w:tcW w:w="479" w:type="pct"/>
                  <w:vAlign w:val="center"/>
                </w:tcPr>
                <w:p>
                  <w:pPr>
                    <w:jc w:val="center"/>
                    <w:rPr>
                      <w:rFonts w:ascii="Times New Roman" w:hAnsi="Times New Roman" w:cs="Times New Roman"/>
                      <w:b/>
                      <w:szCs w:val="21"/>
                    </w:rPr>
                  </w:pPr>
                  <w:r>
                    <w:rPr>
                      <w:rFonts w:ascii="Times New Roman" w:hAnsi="Times New Roman" w:cs="Times New Roman"/>
                      <w:b/>
                      <w:szCs w:val="21"/>
                    </w:rPr>
                    <w:t>产生量（t/a）</w:t>
                  </w:r>
                </w:p>
              </w:tc>
              <w:tc>
                <w:tcPr>
                  <w:tcW w:w="2687" w:type="pct"/>
                  <w:vAlign w:val="center"/>
                </w:tcPr>
                <w:p>
                  <w:pPr>
                    <w:jc w:val="center"/>
                    <w:rPr>
                      <w:rFonts w:ascii="Times New Roman" w:hAnsi="Times New Roman" w:cs="Times New Roman"/>
                      <w:b/>
                      <w:szCs w:val="21"/>
                    </w:rPr>
                  </w:pPr>
                  <w:r>
                    <w:rPr>
                      <w:rFonts w:ascii="Times New Roman" w:hAnsi="Times New Roman" w:cs="Times New Roman"/>
                      <w:b/>
                      <w:szCs w:val="21"/>
                    </w:rPr>
                    <w:t>采取措施及效果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24" w:type="pct"/>
                  <w:vAlign w:val="center"/>
                </w:tcPr>
                <w:p>
                  <w:pPr>
                    <w:jc w:val="center"/>
                    <w:rPr>
                      <w:rFonts w:ascii="Times New Roman" w:hAnsi="Times New Roman" w:cs="Times New Roman"/>
                      <w:szCs w:val="21"/>
                    </w:rPr>
                  </w:pPr>
                  <w:r>
                    <w:rPr>
                      <w:rFonts w:ascii="Times New Roman" w:hAnsi="Times New Roman" w:cs="Times New Roman"/>
                      <w:szCs w:val="21"/>
                    </w:rPr>
                    <w:t>原料</w:t>
                  </w:r>
                </w:p>
              </w:tc>
              <w:tc>
                <w:tcPr>
                  <w:tcW w:w="701" w:type="pct"/>
                  <w:vAlign w:val="center"/>
                </w:tcPr>
                <w:p>
                  <w:pPr>
                    <w:jc w:val="center"/>
                    <w:rPr>
                      <w:rFonts w:ascii="Times New Roman" w:hAnsi="Times New Roman" w:eastAsia="宋体" w:cs="Times New Roman"/>
                      <w:szCs w:val="21"/>
                    </w:rPr>
                  </w:pPr>
                  <w:r>
                    <w:rPr>
                      <w:rFonts w:ascii="Times New Roman" w:hAnsi="Times New Roman" w:cs="Times New Roman"/>
                      <w:szCs w:val="21"/>
                    </w:rPr>
                    <w:t>7.69</w:t>
                  </w:r>
                </w:p>
              </w:tc>
              <w:tc>
                <w:tcPr>
                  <w:tcW w:w="707" w:type="pct"/>
                  <w:vAlign w:val="center"/>
                </w:tcPr>
                <w:p>
                  <w:pPr>
                    <w:jc w:val="center"/>
                    <w:rPr>
                      <w:rFonts w:ascii="Times New Roman" w:hAnsi="Times New Roman" w:cs="Times New Roman"/>
                      <w:szCs w:val="21"/>
                    </w:rPr>
                  </w:pPr>
                  <w:r>
                    <w:rPr>
                      <w:rFonts w:ascii="Times New Roman" w:hAnsi="Times New Roman" w:cs="Times New Roman"/>
                      <w:szCs w:val="21"/>
                    </w:rPr>
                    <w:t>2000</w:t>
                  </w:r>
                </w:p>
              </w:tc>
              <w:tc>
                <w:tcPr>
                  <w:tcW w:w="479" w:type="pct"/>
                  <w:vAlign w:val="center"/>
                </w:tcPr>
                <w:p>
                  <w:pPr>
                    <w:jc w:val="center"/>
                    <w:rPr>
                      <w:rFonts w:ascii="Times New Roman" w:hAnsi="Times New Roman" w:eastAsia="宋体" w:cs="Times New Roman"/>
                      <w:sz w:val="22"/>
                    </w:rPr>
                  </w:pPr>
                  <w:r>
                    <w:rPr>
                      <w:rFonts w:ascii="Times New Roman" w:hAnsi="Times New Roman" w:cs="Times New Roman"/>
                      <w:sz w:val="22"/>
                    </w:rPr>
                    <w:t>15.38</w:t>
                  </w:r>
                </w:p>
              </w:tc>
              <w:tc>
                <w:tcPr>
                  <w:tcW w:w="2687" w:type="pct"/>
                  <w:vAlign w:val="center"/>
                </w:tcPr>
                <w:p>
                  <w:pPr>
                    <w:jc w:val="center"/>
                    <w:rPr>
                      <w:rFonts w:hint="eastAsia" w:ascii="Times New Roman" w:hAnsi="Times New Roman" w:cs="Times New Roman" w:eastAsiaTheme="minorEastAsia"/>
                      <w:szCs w:val="21"/>
                      <w:lang w:eastAsia="zh-CN"/>
                    </w:rPr>
                  </w:pPr>
                  <w:r>
                    <w:rPr>
                      <w:rFonts w:ascii="Times New Roman" w:hAnsi="Times New Roman" w:cs="Times New Roman"/>
                    </w:rPr>
                    <w:t>进入车间内卸车；</w:t>
                  </w:r>
                  <w:r>
                    <w:rPr>
                      <w:rFonts w:hint="eastAsia" w:ascii="Times New Roman" w:hAnsi="Times New Roman" w:cs="Times New Roman"/>
                      <w:lang w:eastAsia="zh-CN"/>
                    </w:rPr>
                    <w:t>设自动门，车辆进出以外时间均全封闭；</w:t>
                  </w:r>
                  <w:r>
                    <w:rPr>
                      <w:rFonts w:hint="eastAsia" w:ascii="Times New Roman" w:hAnsi="Times New Roman" w:cs="Times New Roman"/>
                    </w:rPr>
                    <w:t>设一套雾炮机，安装至库房中心顶棚上，喷雾范围50m，可以满足全厂抑尘要求</w:t>
                  </w:r>
                  <w:r>
                    <w:rPr>
                      <w:rFonts w:hint="eastAsia" w:ascii="Times New Roman" w:hAnsi="Times New Roman" w:cs="Times New Roman"/>
                      <w:lang w:eastAsia="zh-CN"/>
                    </w:rPr>
                    <w:t>，粉尘基本不外逸入外环境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24" w:type="pct"/>
                  <w:vAlign w:val="center"/>
                </w:tcPr>
                <w:p>
                  <w:pPr>
                    <w:jc w:val="center"/>
                    <w:rPr>
                      <w:rFonts w:ascii="Times New Roman" w:hAnsi="Times New Roman" w:cs="Times New Roman"/>
                      <w:szCs w:val="21"/>
                    </w:rPr>
                  </w:pPr>
                  <w:r>
                    <w:rPr>
                      <w:rFonts w:ascii="Times New Roman" w:hAnsi="Times New Roman" w:cs="Times New Roman"/>
                      <w:szCs w:val="21"/>
                    </w:rPr>
                    <w:t>成品</w:t>
                  </w:r>
                </w:p>
              </w:tc>
              <w:tc>
                <w:tcPr>
                  <w:tcW w:w="701" w:type="pct"/>
                  <w:vAlign w:val="center"/>
                </w:tcPr>
                <w:p>
                  <w:pPr>
                    <w:jc w:val="center"/>
                    <w:rPr>
                      <w:rFonts w:ascii="Times New Roman" w:hAnsi="Times New Roman" w:eastAsia="宋体" w:cs="Times New Roman"/>
                      <w:szCs w:val="21"/>
                    </w:rPr>
                  </w:pPr>
                  <w:r>
                    <w:rPr>
                      <w:rFonts w:ascii="Times New Roman" w:hAnsi="Times New Roman" w:cs="Times New Roman"/>
                      <w:szCs w:val="21"/>
                    </w:rPr>
                    <w:t>7.69</w:t>
                  </w:r>
                </w:p>
              </w:tc>
              <w:tc>
                <w:tcPr>
                  <w:tcW w:w="707" w:type="pct"/>
                  <w:vAlign w:val="center"/>
                </w:tcPr>
                <w:p>
                  <w:pPr>
                    <w:jc w:val="center"/>
                    <w:rPr>
                      <w:rFonts w:ascii="Times New Roman" w:hAnsi="Times New Roman" w:cs="Times New Roman"/>
                      <w:szCs w:val="21"/>
                    </w:rPr>
                  </w:pPr>
                  <w:r>
                    <w:rPr>
                      <w:rFonts w:ascii="Times New Roman" w:hAnsi="Times New Roman" w:cs="Times New Roman"/>
                      <w:szCs w:val="21"/>
                    </w:rPr>
                    <w:t>2000</w:t>
                  </w:r>
                </w:p>
              </w:tc>
              <w:tc>
                <w:tcPr>
                  <w:tcW w:w="479" w:type="pct"/>
                  <w:vAlign w:val="center"/>
                </w:tcPr>
                <w:p>
                  <w:pPr>
                    <w:jc w:val="center"/>
                    <w:rPr>
                      <w:rFonts w:ascii="Times New Roman" w:hAnsi="Times New Roman" w:eastAsia="宋体" w:cs="Times New Roman"/>
                      <w:sz w:val="22"/>
                    </w:rPr>
                  </w:pPr>
                  <w:r>
                    <w:rPr>
                      <w:rFonts w:ascii="Times New Roman" w:hAnsi="Times New Roman" w:cs="Times New Roman"/>
                      <w:sz w:val="22"/>
                    </w:rPr>
                    <w:t>15.38</w:t>
                  </w:r>
                </w:p>
              </w:tc>
              <w:tc>
                <w:tcPr>
                  <w:tcW w:w="2687" w:type="pct"/>
                  <w:vAlign w:val="center"/>
                </w:tcPr>
                <w:p>
                  <w:pPr>
                    <w:jc w:val="center"/>
                    <w:rPr>
                      <w:rFonts w:ascii="Times New Roman" w:hAnsi="Times New Roman" w:cs="Times New Roman"/>
                      <w:szCs w:val="21"/>
                    </w:rPr>
                  </w:pPr>
                  <w:r>
                    <w:rPr>
                      <w:rFonts w:ascii="Times New Roman" w:hAnsi="Times New Roman" w:cs="Times New Roman"/>
                    </w:rPr>
                    <w:t>进入车间内卸车；</w:t>
                  </w:r>
                  <w:r>
                    <w:rPr>
                      <w:rFonts w:hint="eastAsia" w:ascii="Times New Roman" w:hAnsi="Times New Roman" w:cs="Times New Roman"/>
                      <w:lang w:eastAsia="zh-CN"/>
                    </w:rPr>
                    <w:t>设自动门，车辆进出以外时间均全封闭；</w:t>
                  </w:r>
                  <w:r>
                    <w:rPr>
                      <w:rFonts w:hint="eastAsia" w:ascii="Times New Roman" w:hAnsi="Times New Roman" w:cs="Times New Roman"/>
                    </w:rPr>
                    <w:t>设一套雾炮机，安装至库房中心顶棚上，喷雾范围50m，可以满足全厂抑尘要求</w:t>
                  </w:r>
                  <w:r>
                    <w:rPr>
                      <w:rFonts w:hint="eastAsia" w:ascii="Times New Roman" w:hAnsi="Times New Roman" w:cs="Times New Roman"/>
                      <w:lang w:eastAsia="zh-CN"/>
                    </w:rPr>
                    <w:t>，粉尘基本不外逸入外环境</w:t>
                  </w:r>
                </w:p>
              </w:tc>
            </w:tr>
          </w:tbl>
          <w:p>
            <w:pPr>
              <w:numPr>
                <w:ilvl w:val="0"/>
                <w:numId w:val="5"/>
              </w:num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物料输送粉尘</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项目物料输送由全封闭皮带传送。</w:t>
            </w:r>
          </w:p>
          <w:p>
            <w:pPr>
              <w:spacing w:line="480" w:lineRule="exact"/>
              <w:ind w:firstLine="482" w:firstLineChars="200"/>
              <w:rPr>
                <w:rFonts w:ascii="Times New Roman" w:hAnsi="Times New Roman" w:cs="Times New Roman"/>
                <w:b/>
                <w:bCs/>
                <w:sz w:val="24"/>
              </w:rPr>
            </w:pPr>
            <w:r>
              <w:rPr>
                <w:rFonts w:ascii="Times New Roman" w:hAnsi="Times New Roman" w:cs="Times New Roman"/>
                <w:b/>
                <w:bCs/>
                <w:sz w:val="24"/>
              </w:rPr>
              <w:t>1.2评价工作等级</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选择项目污染源正常排放的主要污染物及排放参数，采用《环境影响评价技术导则  大气环境》（HJ2.2-2018）附录B推荐模型中AERSCREEN估算模型分别计算项目污染源的最大环境影响，然后按评价工作分级判据进行分级。</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（1）评价工作分级方法</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根据项目污染源调查结果，分别计算项目排放主要污染物的最大浓度占标率Pi（第i个污染物），及第i个污染物的地面空气质量浓度达到标准值的10%时所对应的最远距离D10%。其中Pi定义见下式：</w:t>
            </w:r>
          </w:p>
          <w:p>
            <w:pPr>
              <w:spacing w:before="312" w:beforeLines="100" w:after="156" w:afterLines="50" w:line="520" w:lineRule="atLeast"/>
              <w:jc w:val="center"/>
              <w:rPr>
                <w:rFonts w:ascii="Times New Roman" w:hAnsi="Times New Roman" w:cs="Times New Roman"/>
              </w:rPr>
            </w:pPr>
            <w:r>
              <w:rPr>
                <w:rFonts w:ascii="Times New Roman" w:hAnsi="Times New Roman" w:cs="Times New Roman"/>
                <w:position w:val="-30"/>
              </w:rPr>
              <w:drawing>
                <wp:inline distT="0" distB="0" distL="114300" distR="114300">
                  <wp:extent cx="1020445" cy="468630"/>
                  <wp:effectExtent l="0" t="0" r="8255" b="6985"/>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13"/>
                          <a:stretch>
                            <a:fillRect/>
                          </a:stretch>
                        </pic:blipFill>
                        <pic:spPr>
                          <a:xfrm>
                            <a:off x="0" y="0"/>
                            <a:ext cx="1020445" cy="468630"/>
                          </a:xfrm>
                          <a:prstGeom prst="rect">
                            <a:avLst/>
                          </a:prstGeom>
                          <a:noFill/>
                          <a:ln>
                            <a:noFill/>
                          </a:ln>
                        </pic:spPr>
                      </pic:pic>
                    </a:graphicData>
                  </a:graphic>
                </wp:inline>
              </w:drawing>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式中：Pi—第i个污染物的最大浓度占标率，%；</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Ci—采用估算模型计算出的第i个污染物的最大1h地面空气质量浓度，µg/m</w:t>
            </w:r>
            <w:r>
              <w:rPr>
                <w:rFonts w:ascii="Times New Roman" w:hAnsi="Times New Roman" w:cs="Times New Roman"/>
                <w:spacing w:val="6"/>
                <w:sz w:val="24"/>
                <w:vertAlign w:val="superscript"/>
              </w:rPr>
              <w:t>3</w:t>
            </w:r>
            <w:r>
              <w:rPr>
                <w:rFonts w:ascii="Times New Roman" w:hAnsi="Times New Roman" w:cs="Times New Roman"/>
                <w:spacing w:val="6"/>
                <w:sz w:val="24"/>
              </w:rPr>
              <w:t>；</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Coi—第i个污染物的环境空气质量浓度标准，µg/m</w:t>
            </w:r>
            <w:r>
              <w:rPr>
                <w:rFonts w:ascii="Times New Roman" w:hAnsi="Times New Roman" w:cs="Times New Roman"/>
                <w:spacing w:val="6"/>
                <w:sz w:val="24"/>
                <w:vertAlign w:val="superscript"/>
              </w:rPr>
              <w:t>3</w:t>
            </w:r>
            <w:r>
              <w:rPr>
                <w:rFonts w:ascii="Times New Roman" w:hAnsi="Times New Roman" w:cs="Times New Roman"/>
                <w:spacing w:val="6"/>
                <w:sz w:val="24"/>
              </w:rPr>
              <w:t>。PM</w:t>
            </w:r>
            <w:r>
              <w:rPr>
                <w:rFonts w:ascii="Times New Roman" w:hAnsi="Times New Roman" w:cs="Times New Roman"/>
                <w:spacing w:val="6"/>
                <w:sz w:val="24"/>
                <w:vertAlign w:val="subscript"/>
              </w:rPr>
              <w:t>10</w:t>
            </w:r>
            <w:r>
              <w:rPr>
                <w:rFonts w:ascii="Times New Roman" w:hAnsi="Times New Roman" w:cs="Times New Roman"/>
                <w:spacing w:val="6"/>
                <w:sz w:val="24"/>
              </w:rPr>
              <w:t>按日平均质量浓度的3倍折算为1h平均质量浓度。</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（2）评价工作等级判据</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评价工作等级判据见下表。</w:t>
            </w:r>
          </w:p>
          <w:p>
            <w:pPr>
              <w:adjustRightInd w:val="0"/>
              <w:spacing w:line="480" w:lineRule="exac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rPr>
              <w:t>7-3</w:t>
            </w:r>
            <w:r>
              <w:rPr>
                <w:rFonts w:ascii="Times New Roman" w:hAnsi="Times New Roman" w:cs="Times New Roman"/>
                <w:b/>
                <w:bCs/>
                <w:sz w:val="24"/>
                <w:szCs w:val="24"/>
              </w:rPr>
              <w:t>评价工作等级判据</w:t>
            </w:r>
          </w:p>
          <w:tbl>
            <w:tblPr>
              <w:tblStyle w:val="4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10"/>
              <w:gridCol w:w="71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1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评价工作等级</w:t>
                  </w:r>
                </w:p>
              </w:tc>
              <w:tc>
                <w:tcPr>
                  <w:tcW w:w="715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评价工作分级判据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1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一级</w:t>
                  </w:r>
                </w:p>
              </w:tc>
              <w:tc>
                <w:tcPr>
                  <w:tcW w:w="715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P</w:t>
                  </w:r>
                  <w:r>
                    <w:rPr>
                      <w:rFonts w:ascii="Times New Roman" w:hAnsi="Times New Roman" w:cs="Times New Roman"/>
                      <w:szCs w:val="21"/>
                      <w:vertAlign w:val="subscript"/>
                    </w:rPr>
                    <w:t>max</w:t>
                  </w:r>
                  <w:r>
                    <w:rPr>
                      <w:rFonts w:ascii="Times New Roman" w:hAnsi="Times New Roman" w:cs="Times New Roman"/>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1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二级</w:t>
                  </w:r>
                </w:p>
              </w:tc>
              <w:tc>
                <w:tcPr>
                  <w:tcW w:w="715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1≤P</w:t>
                  </w:r>
                  <w:r>
                    <w:rPr>
                      <w:rFonts w:ascii="Times New Roman" w:hAnsi="Times New Roman" w:cs="Times New Roman"/>
                      <w:szCs w:val="21"/>
                      <w:vertAlign w:val="subscript"/>
                    </w:rPr>
                    <w:t>max</w:t>
                  </w:r>
                  <w:r>
                    <w:rPr>
                      <w:rFonts w:ascii="Times New Roman" w:hAnsi="Times New Roman" w:cs="Times New Roman"/>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1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三级</w:t>
                  </w:r>
                </w:p>
              </w:tc>
              <w:tc>
                <w:tcPr>
                  <w:tcW w:w="715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P</w:t>
                  </w:r>
                  <w:r>
                    <w:rPr>
                      <w:rFonts w:ascii="Times New Roman" w:hAnsi="Times New Roman" w:cs="Times New Roman"/>
                      <w:szCs w:val="21"/>
                      <w:vertAlign w:val="subscript"/>
                    </w:rPr>
                    <w:t>max</w:t>
                  </w:r>
                  <w:r>
                    <w:rPr>
                      <w:rFonts w:ascii="Times New Roman" w:hAnsi="Times New Roman" w:cs="Times New Roman"/>
                      <w:szCs w:val="21"/>
                    </w:rPr>
                    <w:t>＜1%</w:t>
                  </w:r>
                </w:p>
              </w:tc>
            </w:tr>
          </w:tbl>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（3）预测结果</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采用AERSCREEN估算模型计算结果见下表。</w:t>
            </w:r>
          </w:p>
          <w:p>
            <w:pPr>
              <w:adjustRightInd w:val="0"/>
              <w:spacing w:line="480" w:lineRule="exac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rPr>
              <w:t>7-4</w:t>
            </w:r>
            <w:r>
              <w:rPr>
                <w:rFonts w:ascii="Times New Roman" w:hAnsi="Times New Roman" w:cs="Times New Roman"/>
                <w:b/>
                <w:bCs/>
                <w:sz w:val="24"/>
                <w:szCs w:val="24"/>
              </w:rPr>
              <w:t>采用估算模式计算结果</w:t>
            </w:r>
          </w:p>
          <w:tbl>
            <w:tblPr>
              <w:tblStyle w:val="40"/>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66"/>
              <w:gridCol w:w="1540"/>
              <w:gridCol w:w="1086"/>
              <w:gridCol w:w="2703"/>
              <w:gridCol w:w="1190"/>
              <w:gridCol w:w="17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767" w:type="dxa"/>
                  <w:tcBorders>
                    <w:tl2br w:val="nil"/>
                    <w:tr2bl w:val="nil"/>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类别</w:t>
                  </w:r>
                </w:p>
              </w:tc>
              <w:tc>
                <w:tcPr>
                  <w:tcW w:w="1540" w:type="dxa"/>
                  <w:tcBorders>
                    <w:tl2br w:val="nil"/>
                    <w:tr2bl w:val="nil"/>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污染源</w:t>
                  </w:r>
                </w:p>
              </w:tc>
              <w:tc>
                <w:tcPr>
                  <w:tcW w:w="1086" w:type="dxa"/>
                  <w:tcBorders>
                    <w:tl2br w:val="nil"/>
                    <w:tr2bl w:val="nil"/>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污染物</w:t>
                  </w:r>
                </w:p>
              </w:tc>
              <w:tc>
                <w:tcPr>
                  <w:tcW w:w="2704" w:type="dxa"/>
                  <w:tcBorders>
                    <w:tl2br w:val="nil"/>
                    <w:tr2bl w:val="nil"/>
                  </w:tcBorders>
                  <w:vAlign w:val="center"/>
                </w:tcPr>
                <w:p>
                  <w:pPr>
                    <w:widowControl/>
                    <w:jc w:val="center"/>
                    <w:rPr>
                      <w:rFonts w:ascii="Times New Roman" w:hAnsi="Times New Roman" w:cs="Times New Roman"/>
                      <w:b/>
                      <w:kern w:val="0"/>
                      <w:sz w:val="24"/>
                      <w:szCs w:val="24"/>
                    </w:rPr>
                  </w:pPr>
                  <w:r>
                    <w:rPr>
                      <w:rFonts w:ascii="Times New Roman" w:hAnsi="Times New Roman" w:cs="Times New Roman"/>
                      <w:b/>
                      <w:kern w:val="0"/>
                      <w:sz w:val="24"/>
                      <w:szCs w:val="24"/>
                    </w:rPr>
                    <w:t>预测质量浓度/（μg/m</w:t>
                  </w:r>
                  <w:r>
                    <w:rPr>
                      <w:rFonts w:ascii="Times New Roman" w:hAnsi="Times New Roman" w:cs="Times New Roman"/>
                      <w:b/>
                      <w:kern w:val="0"/>
                      <w:sz w:val="24"/>
                      <w:szCs w:val="24"/>
                      <w:vertAlign w:val="superscript"/>
                    </w:rPr>
                    <w:t>3</w:t>
                  </w:r>
                  <w:r>
                    <w:rPr>
                      <w:rFonts w:ascii="Times New Roman" w:hAnsi="Times New Roman" w:cs="Times New Roman"/>
                      <w:b/>
                      <w:kern w:val="0"/>
                      <w:sz w:val="24"/>
                      <w:szCs w:val="24"/>
                    </w:rPr>
                    <w:t>）</w:t>
                  </w:r>
                </w:p>
              </w:tc>
              <w:tc>
                <w:tcPr>
                  <w:tcW w:w="1190" w:type="dxa"/>
                  <w:tcBorders>
                    <w:tl2br w:val="nil"/>
                    <w:tr2bl w:val="nil"/>
                  </w:tcBorders>
                  <w:vAlign w:val="center"/>
                </w:tcPr>
                <w:p>
                  <w:pPr>
                    <w:widowControl/>
                    <w:jc w:val="center"/>
                    <w:rPr>
                      <w:rFonts w:ascii="Times New Roman" w:hAnsi="Times New Roman" w:cs="Times New Roman"/>
                      <w:b/>
                      <w:kern w:val="0"/>
                      <w:sz w:val="24"/>
                      <w:szCs w:val="24"/>
                    </w:rPr>
                  </w:pPr>
                  <w:r>
                    <w:rPr>
                      <w:rFonts w:ascii="Times New Roman" w:hAnsi="Times New Roman" w:cs="Times New Roman"/>
                      <w:b/>
                      <w:kern w:val="0"/>
                      <w:sz w:val="24"/>
                      <w:szCs w:val="24"/>
                    </w:rPr>
                    <w:t>占标率/%</w:t>
                  </w:r>
                </w:p>
              </w:tc>
              <w:tc>
                <w:tcPr>
                  <w:tcW w:w="1768" w:type="dxa"/>
                  <w:tcBorders>
                    <w:tl2br w:val="nil"/>
                    <w:tr2bl w:val="nil"/>
                  </w:tcBorders>
                  <w:vAlign w:val="center"/>
                </w:tcPr>
                <w:p>
                  <w:pPr>
                    <w:widowControl/>
                    <w:jc w:val="center"/>
                    <w:rPr>
                      <w:rFonts w:ascii="Times New Roman" w:hAnsi="Times New Roman" w:cs="Times New Roman"/>
                      <w:b/>
                      <w:kern w:val="0"/>
                      <w:sz w:val="24"/>
                      <w:szCs w:val="24"/>
                    </w:rPr>
                  </w:pPr>
                  <w:r>
                    <w:rPr>
                      <w:rFonts w:ascii="Times New Roman" w:hAnsi="Times New Roman" w:cs="Times New Roman"/>
                      <w:b/>
                      <w:kern w:val="0"/>
                      <w:sz w:val="24"/>
                      <w:szCs w:val="24"/>
                    </w:rPr>
                    <w:t>D</w:t>
                  </w:r>
                  <w:r>
                    <w:rPr>
                      <w:rFonts w:ascii="Times New Roman" w:hAnsi="Times New Roman" w:cs="Times New Roman"/>
                      <w:b/>
                      <w:kern w:val="0"/>
                      <w:sz w:val="24"/>
                      <w:szCs w:val="24"/>
                      <w:vertAlign w:val="subscript"/>
                    </w:rPr>
                    <w:t>10</w:t>
                  </w:r>
                  <w:r>
                    <w:rPr>
                      <w:rFonts w:ascii="Times New Roman" w:hAnsi="Times New Roman" w:cs="Times New Roman"/>
                      <w:b/>
                      <w:kern w:val="0"/>
                      <w:sz w:val="24"/>
                      <w:szCs w:val="24"/>
                    </w:rPr>
                    <w:t>%最远距离/（m）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67" w:type="dxa"/>
                  <w:tcBorders>
                    <w:tl2br w:val="nil"/>
                    <w:tr2bl w:val="nil"/>
                  </w:tcBorders>
                  <w:vAlign w:val="center"/>
                </w:tcPr>
                <w:p>
                  <w:pPr>
                    <w:jc w:val="center"/>
                    <w:rPr>
                      <w:rFonts w:ascii="Times New Roman" w:hAnsi="Times New Roman" w:cs="Times New Roman"/>
                      <w:iCs/>
                      <w:sz w:val="24"/>
                      <w:szCs w:val="24"/>
                    </w:rPr>
                  </w:pPr>
                  <w:r>
                    <w:rPr>
                      <w:rFonts w:ascii="Times New Roman" w:hAnsi="Times New Roman" w:cs="Times New Roman"/>
                      <w:iCs/>
                      <w:sz w:val="24"/>
                      <w:szCs w:val="24"/>
                    </w:rPr>
                    <w:t>点源</w:t>
                  </w:r>
                </w:p>
              </w:tc>
              <w:tc>
                <w:tcPr>
                  <w:tcW w:w="1540" w:type="dxa"/>
                  <w:tcBorders>
                    <w:tl2br w:val="nil"/>
                    <w:tr2bl w:val="nil"/>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lang w:eastAsia="zh-CN"/>
                    </w:rPr>
                    <w:t>进料、</w:t>
                  </w:r>
                  <w:r>
                    <w:rPr>
                      <w:rFonts w:ascii="Times New Roman" w:hAnsi="Times New Roman" w:cs="Times New Roman"/>
                      <w:sz w:val="24"/>
                      <w:szCs w:val="24"/>
                    </w:rPr>
                    <w:t>破碎</w:t>
                  </w:r>
                  <w:r>
                    <w:rPr>
                      <w:rFonts w:hint="eastAsia" w:ascii="Times New Roman" w:hAnsi="Times New Roman" w:cs="Times New Roman"/>
                      <w:sz w:val="24"/>
                      <w:szCs w:val="24"/>
                    </w:rPr>
                    <w:t>、振筛</w:t>
                  </w:r>
                  <w:r>
                    <w:rPr>
                      <w:rFonts w:ascii="Times New Roman" w:hAnsi="Times New Roman" w:cs="Times New Roman"/>
                      <w:sz w:val="24"/>
                      <w:szCs w:val="24"/>
                    </w:rPr>
                    <w:t>工段</w:t>
                  </w:r>
                </w:p>
              </w:tc>
              <w:tc>
                <w:tcPr>
                  <w:tcW w:w="1086" w:type="dxa"/>
                  <w:tcBorders>
                    <w:tl2br w:val="nil"/>
                    <w:tr2bl w:val="nil"/>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vertAlign w:val="subscript"/>
                    </w:rPr>
                    <w:t>10</w:t>
                  </w:r>
                </w:p>
              </w:tc>
              <w:tc>
                <w:tcPr>
                  <w:tcW w:w="2704" w:type="dxa"/>
                  <w:tcBorders>
                    <w:tl2br w:val="nil"/>
                    <w:tr2bl w:val="nil"/>
                  </w:tcBorders>
                  <w:vAlign w:val="center"/>
                </w:tcPr>
                <w:p>
                  <w:pPr>
                    <w:widowControl/>
                    <w:jc w:val="center"/>
                    <w:rPr>
                      <w:rFonts w:ascii="Times New Roman" w:hAnsi="Times New Roman" w:cs="Times New Roman"/>
                      <w:color w:val="000000" w:themeColor="text1"/>
                      <w:kern w:val="0"/>
                      <w:sz w:val="24"/>
                      <w:szCs w:val="24"/>
                    </w:rPr>
                  </w:pPr>
                  <w:r>
                    <w:rPr>
                      <w:rFonts w:hint="eastAsia" w:ascii="Times New Roman" w:hAnsi="Times New Roman" w:cs="Times New Roman"/>
                      <w:color w:val="000000" w:themeColor="text1"/>
                      <w:kern w:val="0"/>
                      <w:sz w:val="24"/>
                      <w:szCs w:val="24"/>
                    </w:rPr>
                    <w:t>28</w:t>
                  </w:r>
                  <w:r>
                    <w:rPr>
                      <w:rFonts w:ascii="Times New Roman" w:hAnsi="Times New Roman" w:cs="Times New Roman"/>
                      <w:color w:val="000000" w:themeColor="text1"/>
                      <w:kern w:val="0"/>
                      <w:sz w:val="24"/>
                      <w:szCs w:val="24"/>
                    </w:rPr>
                    <w:t>.3</w:t>
                  </w:r>
                  <w:r>
                    <w:rPr>
                      <w:rFonts w:hint="eastAsia" w:ascii="Times New Roman" w:hAnsi="Times New Roman" w:cs="Times New Roman"/>
                      <w:color w:val="000000" w:themeColor="text1"/>
                      <w:kern w:val="0"/>
                      <w:sz w:val="24"/>
                      <w:szCs w:val="24"/>
                    </w:rPr>
                    <w:t>3</w:t>
                  </w:r>
                </w:p>
              </w:tc>
              <w:tc>
                <w:tcPr>
                  <w:tcW w:w="1190" w:type="dxa"/>
                  <w:tcBorders>
                    <w:tl2br w:val="nil"/>
                    <w:tr2bl w:val="nil"/>
                  </w:tcBorders>
                  <w:vAlign w:val="center"/>
                </w:tcPr>
                <w:p>
                  <w:pPr>
                    <w:widowControl/>
                    <w:jc w:val="center"/>
                    <w:rPr>
                      <w:rFonts w:ascii="Times New Roman" w:hAnsi="Times New Roman" w:eastAsia="宋体" w:cs="Times New Roman"/>
                      <w:color w:val="000000" w:themeColor="text1"/>
                      <w:kern w:val="0"/>
                      <w:sz w:val="24"/>
                      <w:szCs w:val="24"/>
                    </w:rPr>
                  </w:pPr>
                  <w:r>
                    <w:rPr>
                      <w:rStyle w:val="49"/>
                      <w:rFonts w:hint="eastAsia" w:ascii="Times New Roman" w:hAnsi="Times New Roman" w:cs="Times New Roman"/>
                      <w:color w:val="000000" w:themeColor="text1"/>
                      <w:sz w:val="24"/>
                      <w:szCs w:val="24"/>
                    </w:rPr>
                    <w:t>6</w:t>
                  </w:r>
                  <w:r>
                    <w:rPr>
                      <w:rStyle w:val="49"/>
                      <w:rFonts w:ascii="Times New Roman" w:hAnsi="Times New Roman" w:cs="Times New Roman"/>
                      <w:color w:val="000000" w:themeColor="text1"/>
                      <w:sz w:val="24"/>
                      <w:szCs w:val="24"/>
                    </w:rPr>
                    <w:t>.18</w:t>
                  </w:r>
                  <w:r>
                    <w:rPr>
                      <w:rStyle w:val="49"/>
                      <w:rFonts w:hint="eastAsia" w:ascii="Times New Roman" w:hAnsi="Times New Roman" w:cs="Times New Roman"/>
                      <w:color w:val="000000" w:themeColor="text1"/>
                      <w:sz w:val="24"/>
                      <w:szCs w:val="24"/>
                    </w:rPr>
                    <w:t>3</w:t>
                  </w:r>
                </w:p>
              </w:tc>
              <w:tc>
                <w:tcPr>
                  <w:tcW w:w="1768" w:type="dxa"/>
                  <w:tcBorders>
                    <w:tl2br w:val="nil"/>
                    <w:tr2bl w:val="nil"/>
                  </w:tcBorders>
                  <w:vAlign w:val="center"/>
                </w:tcPr>
                <w:p>
                  <w:pPr>
                    <w:widowControl/>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67" w:type="dxa"/>
                  <w:tcBorders>
                    <w:tl2br w:val="nil"/>
                    <w:tr2bl w:val="nil"/>
                  </w:tcBorders>
                  <w:vAlign w:val="center"/>
                </w:tcPr>
                <w:p>
                  <w:pPr>
                    <w:jc w:val="center"/>
                    <w:rPr>
                      <w:rFonts w:hint="eastAsia" w:ascii="Times New Roman" w:hAnsi="Times New Roman" w:cs="Times New Roman" w:eastAsiaTheme="minorEastAsia"/>
                      <w:iCs/>
                      <w:color w:val="000000" w:themeColor="text1"/>
                      <w:sz w:val="24"/>
                      <w:szCs w:val="24"/>
                      <w:lang w:eastAsia="zh-CN"/>
                    </w:rPr>
                  </w:pPr>
                  <w:r>
                    <w:rPr>
                      <w:rFonts w:hint="eastAsia" w:ascii="Times New Roman" w:hAnsi="Times New Roman" w:cs="Times New Roman"/>
                      <w:iCs/>
                      <w:color w:val="000000" w:themeColor="text1"/>
                      <w:sz w:val="24"/>
                      <w:szCs w:val="24"/>
                      <w:lang w:eastAsia="zh-CN"/>
                    </w:rPr>
                    <w:t>面源</w:t>
                  </w:r>
                </w:p>
              </w:tc>
              <w:tc>
                <w:tcPr>
                  <w:tcW w:w="1540" w:type="dxa"/>
                  <w:tcBorders>
                    <w:tl2br w:val="nil"/>
                    <w:tr2bl w:val="nil"/>
                  </w:tcBorders>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生产车间</w:t>
                  </w:r>
                </w:p>
              </w:tc>
              <w:tc>
                <w:tcPr>
                  <w:tcW w:w="1086" w:type="dxa"/>
                  <w:tcBorders>
                    <w:tl2br w:val="nil"/>
                    <w:tr2bl w:val="nil"/>
                  </w:tcBorders>
                  <w:vAlign w:val="center"/>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TSP</w:t>
                  </w:r>
                </w:p>
              </w:tc>
              <w:tc>
                <w:tcPr>
                  <w:tcW w:w="2704" w:type="dxa"/>
                  <w:tcBorders>
                    <w:tl2br w:val="nil"/>
                    <w:tr2bl w:val="nil"/>
                  </w:tcBorders>
                  <w:vAlign w:val="center"/>
                </w:tcPr>
                <w:p>
                  <w:pPr>
                    <w:widowControl/>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19.519</w:t>
                  </w:r>
                </w:p>
              </w:tc>
              <w:tc>
                <w:tcPr>
                  <w:tcW w:w="1190" w:type="dxa"/>
                  <w:tcBorders>
                    <w:tl2br w:val="nil"/>
                    <w:tr2bl w:val="nil"/>
                  </w:tcBorders>
                  <w:vAlign w:val="center"/>
                </w:tcPr>
                <w:p>
                  <w:pPr>
                    <w:widowControl/>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2.17</w:t>
                  </w:r>
                </w:p>
              </w:tc>
              <w:tc>
                <w:tcPr>
                  <w:tcW w:w="1768" w:type="dxa"/>
                  <w:tcBorders>
                    <w:tl2br w:val="nil"/>
                    <w:tr2bl w:val="nil"/>
                  </w:tcBorders>
                  <w:vAlign w:val="center"/>
                </w:tcPr>
                <w:p>
                  <w:pPr>
                    <w:widowControl/>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w:t>
                  </w:r>
                </w:p>
              </w:tc>
            </w:tr>
          </w:tbl>
          <w:p>
            <w:pPr>
              <w:snapToGrid w:val="0"/>
              <w:spacing w:line="480" w:lineRule="exact"/>
              <w:ind w:firstLine="504"/>
              <w:jc w:val="left"/>
              <w:rPr>
                <w:rFonts w:ascii="Times New Roman" w:hAnsi="Times New Roman" w:cs="Times New Roman"/>
                <w:color w:val="000000" w:themeColor="text1"/>
                <w:spacing w:val="6"/>
                <w:sz w:val="24"/>
              </w:rPr>
            </w:pPr>
            <w:r>
              <w:rPr>
                <w:rFonts w:ascii="Times New Roman" w:hAnsi="Times New Roman" w:cs="Times New Roman"/>
                <w:color w:val="000000" w:themeColor="text1"/>
                <w:spacing w:val="6"/>
                <w:sz w:val="24"/>
              </w:rPr>
              <w:t>（4）判定结果</w:t>
            </w:r>
          </w:p>
          <w:p>
            <w:pPr>
              <w:snapToGrid w:val="0"/>
              <w:spacing w:line="480" w:lineRule="exact"/>
              <w:ind w:firstLine="504"/>
              <w:jc w:val="left"/>
              <w:rPr>
                <w:rFonts w:ascii="Times New Roman" w:hAnsi="Times New Roman" w:cs="Times New Roman"/>
                <w:color w:val="000000" w:themeColor="text1"/>
                <w:spacing w:val="6"/>
                <w:sz w:val="24"/>
              </w:rPr>
            </w:pPr>
            <w:r>
              <w:rPr>
                <w:rFonts w:ascii="Times New Roman" w:hAnsi="Times New Roman" w:cs="Times New Roman"/>
                <w:color w:val="000000" w:themeColor="text1"/>
                <w:spacing w:val="6"/>
                <w:sz w:val="24"/>
              </w:rPr>
              <w:t>Pmax=</w:t>
            </w:r>
            <w:r>
              <w:rPr>
                <w:rFonts w:hint="eastAsia" w:ascii="Times New Roman" w:hAnsi="Times New Roman" w:cs="Times New Roman"/>
                <w:color w:val="000000" w:themeColor="text1"/>
                <w:spacing w:val="6"/>
                <w:sz w:val="24"/>
              </w:rPr>
              <w:t>6</w:t>
            </w:r>
            <w:r>
              <w:rPr>
                <w:rFonts w:ascii="Times New Roman" w:hAnsi="Times New Roman" w:cs="Times New Roman"/>
                <w:color w:val="000000" w:themeColor="text1"/>
                <w:spacing w:val="6"/>
                <w:sz w:val="24"/>
              </w:rPr>
              <w:t>.18</w:t>
            </w:r>
            <w:r>
              <w:rPr>
                <w:rFonts w:hint="eastAsia" w:ascii="Times New Roman" w:hAnsi="Times New Roman" w:cs="Times New Roman"/>
                <w:color w:val="000000" w:themeColor="text1"/>
                <w:spacing w:val="6"/>
                <w:sz w:val="24"/>
              </w:rPr>
              <w:t>3</w:t>
            </w:r>
            <w:r>
              <w:rPr>
                <w:rFonts w:ascii="Times New Roman" w:hAnsi="Times New Roman" w:cs="Times New Roman"/>
                <w:color w:val="000000" w:themeColor="text1"/>
                <w:spacing w:val="6"/>
                <w:sz w:val="24"/>
              </w:rPr>
              <w:t>%，1≤Pmax＜10%。因此，本项目大气环境评价等级为二级。</w:t>
            </w:r>
          </w:p>
          <w:p>
            <w:pPr>
              <w:spacing w:line="480" w:lineRule="exact"/>
              <w:ind w:firstLine="482" w:firstLineChars="200"/>
              <w:rPr>
                <w:rFonts w:ascii="Times New Roman" w:hAnsi="Times New Roman" w:cs="Times New Roman"/>
                <w:b/>
                <w:bCs/>
                <w:sz w:val="24"/>
              </w:rPr>
            </w:pPr>
            <w:r>
              <w:rPr>
                <w:rFonts w:ascii="Times New Roman" w:hAnsi="Times New Roman" w:cs="Times New Roman"/>
                <w:b/>
                <w:bCs/>
                <w:sz w:val="24"/>
              </w:rPr>
              <w:t>1.3大气环境预测与分析</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（1）大气污染源调查</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本次环评大气污染源调查的对象为本项目污染源，调查结果见下表。</w:t>
            </w:r>
          </w:p>
          <w:p>
            <w:pPr>
              <w:adjustRightInd w:val="0"/>
              <w:spacing w:line="480" w:lineRule="exac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rPr>
              <w:t>7-5</w:t>
            </w:r>
            <w:r>
              <w:rPr>
                <w:rFonts w:ascii="Times New Roman" w:hAnsi="Times New Roman" w:cs="Times New Roman"/>
                <w:b/>
                <w:bCs/>
                <w:sz w:val="24"/>
                <w:szCs w:val="24"/>
              </w:rPr>
              <w:t>点源参数调查清单</w:t>
            </w:r>
          </w:p>
          <w:tbl>
            <w:tblPr>
              <w:tblStyle w:val="4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50"/>
              <w:gridCol w:w="763"/>
              <w:gridCol w:w="1141"/>
              <w:gridCol w:w="1219"/>
              <w:gridCol w:w="946"/>
              <w:gridCol w:w="519"/>
              <w:gridCol w:w="568"/>
              <w:gridCol w:w="805"/>
              <w:gridCol w:w="637"/>
              <w:gridCol w:w="736"/>
              <w:gridCol w:w="492"/>
              <w:gridCol w:w="7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450"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项目</w:t>
                  </w:r>
                </w:p>
              </w:tc>
              <w:tc>
                <w:tcPr>
                  <w:tcW w:w="763"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点源名称</w:t>
                  </w:r>
                </w:p>
              </w:tc>
              <w:tc>
                <w:tcPr>
                  <w:tcW w:w="1141"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X</w:t>
                  </w:r>
                </w:p>
                <w:p>
                  <w:pPr>
                    <w:jc w:val="center"/>
                    <w:rPr>
                      <w:rFonts w:ascii="Times New Roman" w:hAnsi="Times New Roman" w:cs="Times New Roman"/>
                      <w:b/>
                      <w:szCs w:val="21"/>
                    </w:rPr>
                  </w:pPr>
                  <w:r>
                    <w:rPr>
                      <w:rFonts w:ascii="Times New Roman" w:hAnsi="Times New Roman" w:cs="Times New Roman"/>
                      <w:b/>
                      <w:szCs w:val="21"/>
                    </w:rPr>
                    <w:t>坐标</w:t>
                  </w:r>
                </w:p>
              </w:tc>
              <w:tc>
                <w:tcPr>
                  <w:tcW w:w="1219"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Y</w:t>
                  </w:r>
                </w:p>
                <w:p>
                  <w:pPr>
                    <w:jc w:val="center"/>
                    <w:rPr>
                      <w:rFonts w:ascii="Times New Roman" w:hAnsi="Times New Roman" w:cs="Times New Roman"/>
                      <w:b/>
                      <w:szCs w:val="21"/>
                    </w:rPr>
                  </w:pPr>
                  <w:r>
                    <w:rPr>
                      <w:rFonts w:ascii="Times New Roman" w:hAnsi="Times New Roman" w:cs="Times New Roman"/>
                      <w:b/>
                      <w:szCs w:val="21"/>
                    </w:rPr>
                    <w:t>坐标</w:t>
                  </w:r>
                </w:p>
              </w:tc>
              <w:tc>
                <w:tcPr>
                  <w:tcW w:w="946"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排气筒底部海拔高度</w:t>
                  </w:r>
                </w:p>
              </w:tc>
              <w:tc>
                <w:tcPr>
                  <w:tcW w:w="519"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排气筒高度</w:t>
                  </w:r>
                </w:p>
              </w:tc>
              <w:tc>
                <w:tcPr>
                  <w:tcW w:w="568"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排气筒内径</w:t>
                  </w:r>
                </w:p>
              </w:tc>
              <w:tc>
                <w:tcPr>
                  <w:tcW w:w="805"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烟气出口速度</w:t>
                  </w:r>
                </w:p>
              </w:tc>
              <w:tc>
                <w:tcPr>
                  <w:tcW w:w="637"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烟气出口温度</w:t>
                  </w:r>
                </w:p>
              </w:tc>
              <w:tc>
                <w:tcPr>
                  <w:tcW w:w="736"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年排放小时数</w:t>
                  </w:r>
                </w:p>
              </w:tc>
              <w:tc>
                <w:tcPr>
                  <w:tcW w:w="492"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排放工况</w:t>
                  </w:r>
                </w:p>
              </w:tc>
              <w:tc>
                <w:tcPr>
                  <w:tcW w:w="764"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评价因子源强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450" w:type="dxa"/>
                  <w:vMerge w:val="continue"/>
                  <w:tcBorders>
                    <w:tl2br w:val="nil"/>
                    <w:tr2bl w:val="nil"/>
                  </w:tcBorders>
                  <w:vAlign w:val="center"/>
                </w:tcPr>
                <w:p>
                  <w:pPr>
                    <w:jc w:val="center"/>
                    <w:rPr>
                      <w:rFonts w:ascii="Times New Roman" w:hAnsi="Times New Roman" w:cs="Times New Roman"/>
                      <w:b/>
                      <w:szCs w:val="21"/>
                    </w:rPr>
                  </w:pPr>
                </w:p>
              </w:tc>
              <w:tc>
                <w:tcPr>
                  <w:tcW w:w="763" w:type="dxa"/>
                  <w:vMerge w:val="continue"/>
                  <w:tcBorders>
                    <w:tl2br w:val="nil"/>
                    <w:tr2bl w:val="nil"/>
                  </w:tcBorders>
                  <w:vAlign w:val="center"/>
                </w:tcPr>
                <w:p>
                  <w:pPr>
                    <w:jc w:val="center"/>
                    <w:rPr>
                      <w:rFonts w:ascii="Times New Roman" w:hAnsi="Times New Roman" w:cs="Times New Roman"/>
                      <w:b/>
                      <w:szCs w:val="21"/>
                    </w:rPr>
                  </w:pPr>
                </w:p>
              </w:tc>
              <w:tc>
                <w:tcPr>
                  <w:tcW w:w="1141" w:type="dxa"/>
                  <w:vMerge w:val="continue"/>
                  <w:tcBorders>
                    <w:tl2br w:val="nil"/>
                    <w:tr2bl w:val="nil"/>
                  </w:tcBorders>
                  <w:vAlign w:val="center"/>
                </w:tcPr>
                <w:p>
                  <w:pPr>
                    <w:jc w:val="center"/>
                    <w:rPr>
                      <w:rFonts w:ascii="Times New Roman" w:hAnsi="Times New Roman" w:cs="Times New Roman"/>
                      <w:b/>
                      <w:szCs w:val="21"/>
                    </w:rPr>
                  </w:pPr>
                </w:p>
              </w:tc>
              <w:tc>
                <w:tcPr>
                  <w:tcW w:w="1219" w:type="dxa"/>
                  <w:vMerge w:val="continue"/>
                  <w:tcBorders>
                    <w:tl2br w:val="nil"/>
                    <w:tr2bl w:val="nil"/>
                  </w:tcBorders>
                  <w:vAlign w:val="center"/>
                </w:tcPr>
                <w:p>
                  <w:pPr>
                    <w:jc w:val="center"/>
                    <w:rPr>
                      <w:rFonts w:ascii="Times New Roman" w:hAnsi="Times New Roman" w:cs="Times New Roman"/>
                      <w:b/>
                      <w:szCs w:val="21"/>
                    </w:rPr>
                  </w:pPr>
                </w:p>
              </w:tc>
              <w:tc>
                <w:tcPr>
                  <w:tcW w:w="946" w:type="dxa"/>
                  <w:vMerge w:val="continue"/>
                  <w:tcBorders>
                    <w:tl2br w:val="nil"/>
                    <w:tr2bl w:val="nil"/>
                  </w:tcBorders>
                  <w:vAlign w:val="center"/>
                </w:tcPr>
                <w:p>
                  <w:pPr>
                    <w:jc w:val="center"/>
                    <w:rPr>
                      <w:rFonts w:ascii="Times New Roman" w:hAnsi="Times New Roman" w:cs="Times New Roman"/>
                      <w:b/>
                      <w:szCs w:val="21"/>
                    </w:rPr>
                  </w:pPr>
                </w:p>
              </w:tc>
              <w:tc>
                <w:tcPr>
                  <w:tcW w:w="519" w:type="dxa"/>
                  <w:vMerge w:val="continue"/>
                  <w:tcBorders>
                    <w:tl2br w:val="nil"/>
                    <w:tr2bl w:val="nil"/>
                  </w:tcBorders>
                  <w:vAlign w:val="center"/>
                </w:tcPr>
                <w:p>
                  <w:pPr>
                    <w:jc w:val="center"/>
                    <w:rPr>
                      <w:rFonts w:ascii="Times New Roman" w:hAnsi="Times New Roman" w:cs="Times New Roman"/>
                      <w:b/>
                      <w:szCs w:val="21"/>
                    </w:rPr>
                  </w:pPr>
                </w:p>
              </w:tc>
              <w:tc>
                <w:tcPr>
                  <w:tcW w:w="568" w:type="dxa"/>
                  <w:vMerge w:val="continue"/>
                  <w:tcBorders>
                    <w:tl2br w:val="nil"/>
                    <w:tr2bl w:val="nil"/>
                  </w:tcBorders>
                  <w:vAlign w:val="center"/>
                </w:tcPr>
                <w:p>
                  <w:pPr>
                    <w:jc w:val="center"/>
                    <w:rPr>
                      <w:rFonts w:ascii="Times New Roman" w:hAnsi="Times New Roman" w:cs="Times New Roman"/>
                      <w:b/>
                      <w:szCs w:val="21"/>
                    </w:rPr>
                  </w:pPr>
                </w:p>
              </w:tc>
              <w:tc>
                <w:tcPr>
                  <w:tcW w:w="805" w:type="dxa"/>
                  <w:vMerge w:val="continue"/>
                  <w:tcBorders>
                    <w:tl2br w:val="nil"/>
                    <w:tr2bl w:val="nil"/>
                  </w:tcBorders>
                  <w:vAlign w:val="center"/>
                </w:tcPr>
                <w:p>
                  <w:pPr>
                    <w:jc w:val="center"/>
                    <w:rPr>
                      <w:rFonts w:ascii="Times New Roman" w:hAnsi="Times New Roman" w:cs="Times New Roman"/>
                      <w:b/>
                      <w:szCs w:val="21"/>
                    </w:rPr>
                  </w:pPr>
                </w:p>
              </w:tc>
              <w:tc>
                <w:tcPr>
                  <w:tcW w:w="637" w:type="dxa"/>
                  <w:vMerge w:val="continue"/>
                  <w:tcBorders>
                    <w:tl2br w:val="nil"/>
                    <w:tr2bl w:val="nil"/>
                  </w:tcBorders>
                  <w:vAlign w:val="center"/>
                </w:tcPr>
                <w:p>
                  <w:pPr>
                    <w:jc w:val="center"/>
                    <w:rPr>
                      <w:rFonts w:ascii="Times New Roman" w:hAnsi="Times New Roman" w:cs="Times New Roman"/>
                      <w:b/>
                      <w:szCs w:val="21"/>
                    </w:rPr>
                  </w:pPr>
                </w:p>
              </w:tc>
              <w:tc>
                <w:tcPr>
                  <w:tcW w:w="736" w:type="dxa"/>
                  <w:vMerge w:val="continue"/>
                  <w:tcBorders>
                    <w:tl2br w:val="nil"/>
                    <w:tr2bl w:val="nil"/>
                  </w:tcBorders>
                  <w:vAlign w:val="center"/>
                </w:tcPr>
                <w:p>
                  <w:pPr>
                    <w:jc w:val="center"/>
                    <w:rPr>
                      <w:rFonts w:ascii="Times New Roman" w:hAnsi="Times New Roman" w:cs="Times New Roman"/>
                      <w:b/>
                      <w:szCs w:val="21"/>
                    </w:rPr>
                  </w:pPr>
                </w:p>
              </w:tc>
              <w:tc>
                <w:tcPr>
                  <w:tcW w:w="492" w:type="dxa"/>
                  <w:vMerge w:val="continue"/>
                  <w:tcBorders>
                    <w:tl2br w:val="nil"/>
                    <w:tr2bl w:val="nil"/>
                  </w:tcBorders>
                  <w:vAlign w:val="center"/>
                </w:tcPr>
                <w:p>
                  <w:pPr>
                    <w:jc w:val="center"/>
                    <w:rPr>
                      <w:rFonts w:ascii="Times New Roman" w:hAnsi="Times New Roman" w:cs="Times New Roman"/>
                      <w:b/>
                      <w:szCs w:val="21"/>
                    </w:rPr>
                  </w:pPr>
                </w:p>
              </w:tc>
              <w:tc>
                <w:tcPr>
                  <w:tcW w:w="764"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PM</w:t>
                  </w:r>
                  <w:r>
                    <w:rPr>
                      <w:rFonts w:ascii="Times New Roman" w:hAnsi="Times New Roman" w:cs="Times New Roman"/>
                      <w:b/>
                      <w:szCs w:val="21"/>
                      <w:vertAlign w:val="subscript"/>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5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单位</w:t>
                  </w:r>
                </w:p>
              </w:tc>
              <w:tc>
                <w:tcPr>
                  <w:tcW w:w="76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14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m</w:t>
                  </w:r>
                </w:p>
              </w:tc>
              <w:tc>
                <w:tcPr>
                  <w:tcW w:w="1219" w:type="dxa"/>
                  <w:tcBorders>
                    <w:tl2br w:val="nil"/>
                    <w:tr2bl w:val="nil"/>
                  </w:tcBorders>
                  <w:vAlign w:val="center"/>
                </w:tcPr>
                <w:p>
                  <w:pPr>
                    <w:widowControl/>
                    <w:jc w:val="center"/>
                    <w:rPr>
                      <w:rFonts w:ascii="Times New Roman" w:hAnsi="Times New Roman" w:cs="Times New Roman"/>
                      <w:szCs w:val="21"/>
                    </w:rPr>
                  </w:pPr>
                  <w:r>
                    <w:rPr>
                      <w:rFonts w:ascii="Times New Roman" w:hAnsi="Times New Roman" w:cs="Times New Roman"/>
                      <w:szCs w:val="21"/>
                    </w:rPr>
                    <w:t>m</w:t>
                  </w:r>
                </w:p>
              </w:tc>
              <w:tc>
                <w:tcPr>
                  <w:tcW w:w="946"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m</w:t>
                  </w:r>
                </w:p>
              </w:tc>
              <w:tc>
                <w:tcPr>
                  <w:tcW w:w="519" w:type="dxa"/>
                  <w:tcBorders>
                    <w:tl2br w:val="nil"/>
                    <w:tr2bl w:val="nil"/>
                  </w:tcBorders>
                  <w:vAlign w:val="center"/>
                </w:tcPr>
                <w:p>
                  <w:pPr>
                    <w:widowControl/>
                    <w:jc w:val="center"/>
                    <w:rPr>
                      <w:rFonts w:ascii="Times New Roman" w:hAnsi="Times New Roman" w:cs="Times New Roman"/>
                      <w:szCs w:val="21"/>
                    </w:rPr>
                  </w:pPr>
                  <w:r>
                    <w:rPr>
                      <w:rFonts w:ascii="Times New Roman" w:hAnsi="Times New Roman" w:cs="Times New Roman"/>
                      <w:szCs w:val="21"/>
                    </w:rPr>
                    <w:t>m</w:t>
                  </w:r>
                </w:p>
              </w:tc>
              <w:tc>
                <w:tcPr>
                  <w:tcW w:w="568" w:type="dxa"/>
                  <w:tcBorders>
                    <w:tl2br w:val="nil"/>
                    <w:tr2bl w:val="nil"/>
                  </w:tcBorders>
                  <w:vAlign w:val="center"/>
                </w:tcPr>
                <w:p>
                  <w:pPr>
                    <w:widowControl/>
                    <w:jc w:val="center"/>
                    <w:rPr>
                      <w:rFonts w:ascii="Times New Roman" w:hAnsi="Times New Roman" w:cs="Times New Roman"/>
                      <w:szCs w:val="21"/>
                    </w:rPr>
                  </w:pPr>
                  <w:r>
                    <w:rPr>
                      <w:rFonts w:ascii="Times New Roman" w:hAnsi="Times New Roman" w:cs="Times New Roman"/>
                      <w:szCs w:val="21"/>
                    </w:rPr>
                    <w:t>m</w:t>
                  </w:r>
                </w:p>
              </w:tc>
              <w:tc>
                <w:tcPr>
                  <w:tcW w:w="805"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m/s</w:t>
                  </w:r>
                </w:p>
              </w:tc>
              <w:tc>
                <w:tcPr>
                  <w:tcW w:w="63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K</w:t>
                  </w:r>
                </w:p>
              </w:tc>
              <w:tc>
                <w:tcPr>
                  <w:tcW w:w="736"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h</w:t>
                  </w:r>
                </w:p>
              </w:tc>
              <w:tc>
                <w:tcPr>
                  <w:tcW w:w="49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76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kg/h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5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数据</w:t>
                  </w:r>
                </w:p>
              </w:tc>
              <w:tc>
                <w:tcPr>
                  <w:tcW w:w="76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破碎</w:t>
                  </w:r>
                  <w:r>
                    <w:rPr>
                      <w:rFonts w:hint="eastAsia" w:ascii="Times New Roman" w:hAnsi="Times New Roman" w:cs="Times New Roman"/>
                      <w:szCs w:val="21"/>
                    </w:rPr>
                    <w:t>振筛</w:t>
                  </w:r>
                  <w:r>
                    <w:rPr>
                      <w:rFonts w:ascii="Times New Roman" w:hAnsi="Times New Roman" w:cs="Times New Roman"/>
                      <w:szCs w:val="21"/>
                    </w:rPr>
                    <w:t>工段</w:t>
                  </w:r>
                </w:p>
              </w:tc>
              <w:tc>
                <w:tcPr>
                  <w:tcW w:w="114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112.54527</w:t>
                  </w:r>
                </w:p>
              </w:tc>
              <w:tc>
                <w:tcPr>
                  <w:tcW w:w="1219"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38.58070</w:t>
                  </w:r>
                </w:p>
              </w:tc>
              <w:tc>
                <w:tcPr>
                  <w:tcW w:w="946"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891.883</w:t>
                  </w:r>
                </w:p>
              </w:tc>
              <w:tc>
                <w:tcPr>
                  <w:tcW w:w="519"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15</w:t>
                  </w:r>
                </w:p>
              </w:tc>
              <w:tc>
                <w:tcPr>
                  <w:tcW w:w="56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0.6</w:t>
                  </w:r>
                </w:p>
              </w:tc>
              <w:tc>
                <w:tcPr>
                  <w:tcW w:w="805" w:type="dxa"/>
                  <w:tcBorders>
                    <w:tl2br w:val="nil"/>
                    <w:tr2bl w:val="nil"/>
                  </w:tcBorders>
                  <w:vAlign w:val="center"/>
                </w:tcPr>
                <w:p>
                  <w:pPr>
                    <w:jc w:val="center"/>
                    <w:rPr>
                      <w:rFonts w:ascii="Times New Roman" w:hAnsi="Times New Roman" w:cs="Times New Roman"/>
                      <w:sz w:val="22"/>
                    </w:rPr>
                  </w:pPr>
                  <w:r>
                    <w:rPr>
                      <w:rFonts w:hint="eastAsia" w:ascii="Times New Roman" w:hAnsi="Times New Roman" w:cs="Times New Roman"/>
                      <w:sz w:val="22"/>
                    </w:rPr>
                    <w:t>19.66</w:t>
                  </w:r>
                </w:p>
              </w:tc>
              <w:tc>
                <w:tcPr>
                  <w:tcW w:w="63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293</w:t>
                  </w:r>
                </w:p>
              </w:tc>
              <w:tc>
                <w:tcPr>
                  <w:tcW w:w="736"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2400</w:t>
                  </w:r>
                </w:p>
              </w:tc>
              <w:tc>
                <w:tcPr>
                  <w:tcW w:w="492" w:type="dxa"/>
                  <w:tcBorders>
                    <w:tl2br w:val="nil"/>
                    <w:tr2bl w:val="nil"/>
                  </w:tcBorders>
                  <w:vAlign w:val="center"/>
                </w:tcPr>
                <w:p>
                  <w:pPr>
                    <w:widowControl/>
                    <w:jc w:val="center"/>
                    <w:rPr>
                      <w:rFonts w:ascii="Times New Roman" w:hAnsi="Times New Roman" w:cs="Times New Roman"/>
                      <w:szCs w:val="21"/>
                    </w:rPr>
                  </w:pPr>
                  <w:r>
                    <w:rPr>
                      <w:rFonts w:ascii="Times New Roman" w:hAnsi="Times New Roman" w:cs="Times New Roman"/>
                      <w:szCs w:val="21"/>
                    </w:rPr>
                    <w:t>连续</w:t>
                  </w:r>
                </w:p>
              </w:tc>
              <w:tc>
                <w:tcPr>
                  <w:tcW w:w="764" w:type="dxa"/>
                  <w:tcBorders>
                    <w:tl2br w:val="nil"/>
                    <w:tr2bl w:val="nil"/>
                  </w:tcBorders>
                  <w:vAlign w:val="center"/>
                </w:tcPr>
                <w:p>
                  <w:pPr>
                    <w:jc w:val="center"/>
                    <w:rPr>
                      <w:rFonts w:ascii="Times New Roman" w:hAnsi="Times New Roman" w:cs="Times New Roman"/>
                      <w:sz w:val="22"/>
                    </w:rPr>
                  </w:pPr>
                  <w:r>
                    <w:rPr>
                      <w:rFonts w:hint="eastAsia" w:ascii="Times New Roman" w:hAnsi="Times New Roman" w:cs="Times New Roman"/>
                      <w:sz w:val="22"/>
                    </w:rPr>
                    <w:t>0.</w:t>
                  </w:r>
                  <w:r>
                    <w:rPr>
                      <w:rFonts w:hint="eastAsia" w:ascii="Times New Roman" w:hAnsi="Times New Roman" w:cs="Times New Roman"/>
                      <w:sz w:val="22"/>
                      <w:lang w:val="en-US" w:eastAsia="zh-CN"/>
                    </w:rPr>
                    <w:t>6</w:t>
                  </w:r>
                  <w:r>
                    <w:rPr>
                      <w:rFonts w:hint="eastAsia" w:ascii="Times New Roman" w:hAnsi="Times New Roman" w:cs="Times New Roman"/>
                      <w:sz w:val="22"/>
                    </w:rPr>
                    <w:t>0</w:t>
                  </w:r>
                </w:p>
              </w:tc>
            </w:tr>
          </w:tbl>
          <w:p>
            <w:pPr>
              <w:adjustRightInd w:val="0"/>
              <w:spacing w:line="480" w:lineRule="exac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rPr>
              <w:t>7-6</w:t>
            </w:r>
            <w:r>
              <w:rPr>
                <w:rFonts w:ascii="Times New Roman" w:hAnsi="Times New Roman" w:cs="Times New Roman"/>
                <w:b/>
                <w:bCs/>
                <w:sz w:val="24"/>
                <w:szCs w:val="24"/>
              </w:rPr>
              <w:t>面源参数</w:t>
            </w:r>
          </w:p>
          <w:tbl>
            <w:tblPr>
              <w:tblStyle w:val="40"/>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37"/>
              <w:gridCol w:w="599"/>
              <w:gridCol w:w="1006"/>
              <w:gridCol w:w="1014"/>
              <w:gridCol w:w="908"/>
              <w:gridCol w:w="726"/>
              <w:gridCol w:w="557"/>
              <w:gridCol w:w="558"/>
              <w:gridCol w:w="691"/>
              <w:gridCol w:w="675"/>
              <w:gridCol w:w="730"/>
              <w:gridCol w:w="10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89" w:hRule="atLeast"/>
                <w:jc w:val="center"/>
              </w:trPr>
              <w:tc>
                <w:tcPr>
                  <w:tcW w:w="537" w:type="dxa"/>
                  <w:vMerge w:val="restart"/>
                  <w:tcBorders>
                    <w:tl2br w:val="nil"/>
                    <w:tr2bl w:val="nil"/>
                  </w:tcBorders>
                  <w:vAlign w:val="center"/>
                </w:tcPr>
                <w:p>
                  <w:pPr>
                    <w:pStyle w:val="246"/>
                    <w:jc w:val="center"/>
                    <w:rPr>
                      <w:rFonts w:ascii="Times New Roman" w:hAnsi="Times New Roman" w:cs="Times New Roman"/>
                      <w:b/>
                      <w:sz w:val="20"/>
                    </w:rPr>
                  </w:pPr>
                </w:p>
                <w:p>
                  <w:pPr>
                    <w:pStyle w:val="246"/>
                    <w:spacing w:before="5"/>
                    <w:jc w:val="center"/>
                    <w:rPr>
                      <w:rFonts w:ascii="Times New Roman" w:hAnsi="Times New Roman" w:cs="Times New Roman"/>
                      <w:b/>
                      <w:sz w:val="18"/>
                    </w:rPr>
                  </w:pPr>
                </w:p>
                <w:p>
                  <w:pPr>
                    <w:pStyle w:val="246"/>
                    <w:spacing w:line="278" w:lineRule="auto"/>
                    <w:ind w:left="180" w:right="131"/>
                    <w:jc w:val="center"/>
                    <w:rPr>
                      <w:rFonts w:ascii="Times New Roman" w:hAnsi="Times New Roman" w:cs="Times New Roman"/>
                    </w:rPr>
                  </w:pPr>
                  <w:r>
                    <w:rPr>
                      <w:rFonts w:ascii="Times New Roman" w:hAnsi="Times New Roman" w:cs="Times New Roman"/>
                    </w:rPr>
                    <w:t>编号</w:t>
                  </w:r>
                </w:p>
              </w:tc>
              <w:tc>
                <w:tcPr>
                  <w:tcW w:w="599" w:type="dxa"/>
                  <w:vMerge w:val="restart"/>
                  <w:tcBorders>
                    <w:tl2br w:val="nil"/>
                    <w:tr2bl w:val="nil"/>
                  </w:tcBorders>
                  <w:vAlign w:val="center"/>
                </w:tcPr>
                <w:p>
                  <w:pPr>
                    <w:pStyle w:val="246"/>
                    <w:jc w:val="center"/>
                    <w:rPr>
                      <w:rFonts w:ascii="Times New Roman" w:hAnsi="Times New Roman" w:cs="Times New Roman"/>
                      <w:b/>
                      <w:sz w:val="20"/>
                    </w:rPr>
                  </w:pPr>
                </w:p>
                <w:p>
                  <w:pPr>
                    <w:pStyle w:val="246"/>
                    <w:jc w:val="center"/>
                    <w:rPr>
                      <w:rFonts w:ascii="Times New Roman" w:hAnsi="Times New Roman" w:cs="Times New Roman"/>
                      <w:b/>
                      <w:sz w:val="20"/>
                    </w:rPr>
                  </w:pPr>
                </w:p>
                <w:p>
                  <w:pPr>
                    <w:pStyle w:val="246"/>
                    <w:spacing w:before="136"/>
                    <w:ind w:left="3" w:hanging="3"/>
                    <w:jc w:val="center"/>
                    <w:rPr>
                      <w:rFonts w:ascii="Times New Roman" w:hAnsi="Times New Roman" w:cs="Times New Roman"/>
                    </w:rPr>
                  </w:pPr>
                  <w:r>
                    <w:rPr>
                      <w:rFonts w:ascii="Times New Roman" w:hAnsi="Times New Roman" w:cs="Times New Roman"/>
                    </w:rPr>
                    <w:t>名称</w:t>
                  </w:r>
                </w:p>
              </w:tc>
              <w:tc>
                <w:tcPr>
                  <w:tcW w:w="2020" w:type="dxa"/>
                  <w:gridSpan w:val="2"/>
                  <w:tcBorders>
                    <w:tl2br w:val="nil"/>
                    <w:tr2bl w:val="nil"/>
                  </w:tcBorders>
                  <w:vAlign w:val="center"/>
                </w:tcPr>
                <w:p>
                  <w:pPr>
                    <w:pStyle w:val="246"/>
                    <w:spacing w:before="6"/>
                    <w:jc w:val="center"/>
                    <w:rPr>
                      <w:rFonts w:ascii="Times New Roman" w:hAnsi="Times New Roman" w:cs="Times New Roman"/>
                      <w:b/>
                      <w:sz w:val="16"/>
                    </w:rPr>
                  </w:pPr>
                </w:p>
                <w:p>
                  <w:pPr>
                    <w:pStyle w:val="246"/>
                    <w:spacing w:line="278" w:lineRule="auto"/>
                    <w:ind w:left="149" w:right="118" w:firstLine="7"/>
                    <w:jc w:val="center"/>
                    <w:rPr>
                      <w:rFonts w:ascii="Times New Roman" w:hAnsi="Times New Roman" w:eastAsia="Times New Roman" w:cs="Times New Roman"/>
                    </w:rPr>
                  </w:pPr>
                  <w:r>
                    <w:rPr>
                      <w:rFonts w:ascii="Times New Roman" w:hAnsi="Times New Roman" w:cs="Times New Roman"/>
                    </w:rPr>
                    <w:t>面源中心点坐标</w:t>
                  </w:r>
                  <w:r>
                    <w:rPr>
                      <w:rFonts w:ascii="Times New Roman" w:hAnsi="Times New Roman" w:eastAsia="Times New Roman" w:cs="Times New Roman"/>
                    </w:rPr>
                    <w:t>/m</w:t>
                  </w:r>
                </w:p>
              </w:tc>
              <w:tc>
                <w:tcPr>
                  <w:tcW w:w="908" w:type="dxa"/>
                  <w:vMerge w:val="restart"/>
                  <w:tcBorders>
                    <w:tl2br w:val="nil"/>
                    <w:tr2bl w:val="nil"/>
                  </w:tcBorders>
                  <w:vAlign w:val="center"/>
                </w:tcPr>
                <w:p>
                  <w:pPr>
                    <w:pStyle w:val="246"/>
                    <w:spacing w:before="1"/>
                    <w:jc w:val="center"/>
                    <w:rPr>
                      <w:rFonts w:ascii="Times New Roman" w:hAnsi="Times New Roman" w:cs="Times New Roman"/>
                      <w:b/>
                      <w:sz w:val="14"/>
                    </w:rPr>
                  </w:pPr>
                </w:p>
                <w:p>
                  <w:pPr>
                    <w:pStyle w:val="246"/>
                    <w:spacing w:line="278" w:lineRule="auto"/>
                    <w:ind w:left="156" w:right="116"/>
                    <w:jc w:val="center"/>
                    <w:rPr>
                      <w:rFonts w:ascii="Times New Roman" w:hAnsi="Times New Roman" w:cs="Times New Roman"/>
                    </w:rPr>
                  </w:pPr>
                  <w:r>
                    <w:rPr>
                      <w:rFonts w:ascii="Times New Roman" w:hAnsi="Times New Roman" w:cs="Times New Roman"/>
                      <w:spacing w:val="-9"/>
                    </w:rPr>
                    <w:t>面源海拔高度</w:t>
                  </w:r>
                </w:p>
                <w:p>
                  <w:pPr>
                    <w:pStyle w:val="246"/>
                    <w:spacing w:before="14"/>
                    <w:ind w:left="254"/>
                    <w:jc w:val="center"/>
                    <w:rPr>
                      <w:rFonts w:ascii="Times New Roman" w:hAnsi="Times New Roman" w:cs="Times New Roman"/>
                    </w:rPr>
                  </w:pPr>
                  <w:r>
                    <w:rPr>
                      <w:rFonts w:ascii="Times New Roman" w:hAnsi="Times New Roman" w:cs="Times New Roman"/>
                    </w:rPr>
                    <w:t>/m</w:t>
                  </w:r>
                </w:p>
              </w:tc>
              <w:tc>
                <w:tcPr>
                  <w:tcW w:w="726" w:type="dxa"/>
                  <w:vMerge w:val="restart"/>
                  <w:tcBorders>
                    <w:tl2br w:val="nil"/>
                    <w:tr2bl w:val="nil"/>
                  </w:tcBorders>
                  <w:vAlign w:val="center"/>
                </w:tcPr>
                <w:p>
                  <w:pPr>
                    <w:pStyle w:val="246"/>
                    <w:spacing w:before="3"/>
                    <w:jc w:val="center"/>
                    <w:rPr>
                      <w:rFonts w:ascii="Times New Roman" w:hAnsi="Times New Roman" w:cs="Times New Roman"/>
                      <w:b/>
                      <w:sz w:val="26"/>
                    </w:rPr>
                  </w:pPr>
                </w:p>
                <w:p>
                  <w:pPr>
                    <w:pStyle w:val="246"/>
                    <w:spacing w:line="278" w:lineRule="auto"/>
                    <w:ind w:left="157" w:right="117"/>
                    <w:jc w:val="center"/>
                    <w:rPr>
                      <w:rFonts w:ascii="Times New Roman" w:hAnsi="Times New Roman" w:cs="Times New Roman"/>
                    </w:rPr>
                  </w:pPr>
                  <w:r>
                    <w:rPr>
                      <w:rFonts w:ascii="Times New Roman" w:hAnsi="Times New Roman" w:cs="Times New Roman"/>
                      <w:spacing w:val="-9"/>
                    </w:rPr>
                    <w:t>面源长度</w:t>
                  </w:r>
                </w:p>
                <w:p>
                  <w:pPr>
                    <w:pStyle w:val="246"/>
                    <w:spacing w:before="14"/>
                    <w:ind w:left="255"/>
                    <w:jc w:val="center"/>
                    <w:rPr>
                      <w:rFonts w:ascii="Times New Roman" w:hAnsi="Times New Roman" w:cs="Times New Roman"/>
                    </w:rPr>
                  </w:pPr>
                  <w:r>
                    <w:rPr>
                      <w:rFonts w:ascii="Times New Roman" w:hAnsi="Times New Roman" w:cs="Times New Roman"/>
                    </w:rPr>
                    <w:t>/m</w:t>
                  </w:r>
                </w:p>
              </w:tc>
              <w:tc>
                <w:tcPr>
                  <w:tcW w:w="557" w:type="dxa"/>
                  <w:vMerge w:val="restart"/>
                  <w:tcBorders>
                    <w:tl2br w:val="nil"/>
                    <w:tr2bl w:val="nil"/>
                  </w:tcBorders>
                  <w:vAlign w:val="center"/>
                </w:tcPr>
                <w:p>
                  <w:pPr>
                    <w:pStyle w:val="246"/>
                    <w:spacing w:before="3"/>
                    <w:jc w:val="center"/>
                    <w:rPr>
                      <w:rFonts w:ascii="Times New Roman" w:hAnsi="Times New Roman" w:cs="Times New Roman"/>
                      <w:b/>
                      <w:sz w:val="26"/>
                    </w:rPr>
                  </w:pPr>
                </w:p>
                <w:p>
                  <w:pPr>
                    <w:pStyle w:val="246"/>
                    <w:spacing w:line="278" w:lineRule="auto"/>
                    <w:ind w:left="158" w:right="114"/>
                    <w:jc w:val="center"/>
                    <w:rPr>
                      <w:rFonts w:ascii="Times New Roman" w:hAnsi="Times New Roman" w:cs="Times New Roman"/>
                    </w:rPr>
                  </w:pPr>
                  <w:r>
                    <w:rPr>
                      <w:rFonts w:ascii="Times New Roman" w:hAnsi="Times New Roman" w:cs="Times New Roman"/>
                      <w:spacing w:val="-9"/>
                    </w:rPr>
                    <w:t>面源宽度</w:t>
                  </w:r>
                </w:p>
                <w:p>
                  <w:pPr>
                    <w:pStyle w:val="246"/>
                    <w:spacing w:before="14"/>
                    <w:ind w:left="256"/>
                    <w:jc w:val="center"/>
                    <w:rPr>
                      <w:rFonts w:ascii="Times New Roman" w:hAnsi="Times New Roman" w:cs="Times New Roman"/>
                    </w:rPr>
                  </w:pPr>
                  <w:r>
                    <w:rPr>
                      <w:rFonts w:ascii="Times New Roman" w:hAnsi="Times New Roman" w:cs="Times New Roman"/>
                    </w:rPr>
                    <w:t>/m</w:t>
                  </w:r>
                </w:p>
              </w:tc>
              <w:tc>
                <w:tcPr>
                  <w:tcW w:w="558" w:type="dxa"/>
                  <w:vMerge w:val="restart"/>
                  <w:tcBorders>
                    <w:tl2br w:val="nil"/>
                    <w:tr2bl w:val="nil"/>
                  </w:tcBorders>
                  <w:vAlign w:val="center"/>
                </w:tcPr>
                <w:p>
                  <w:pPr>
                    <w:pStyle w:val="246"/>
                    <w:spacing w:before="3"/>
                    <w:jc w:val="center"/>
                    <w:rPr>
                      <w:rFonts w:ascii="Times New Roman" w:hAnsi="Times New Roman" w:cs="Times New Roman"/>
                      <w:b/>
                      <w:sz w:val="26"/>
                    </w:rPr>
                  </w:pPr>
                </w:p>
                <w:p>
                  <w:pPr>
                    <w:pStyle w:val="246"/>
                    <w:spacing w:line="278" w:lineRule="auto"/>
                    <w:ind w:left="159" w:right="112"/>
                    <w:jc w:val="center"/>
                    <w:rPr>
                      <w:rFonts w:ascii="Times New Roman" w:hAnsi="Times New Roman" w:cs="Times New Roman"/>
                    </w:rPr>
                  </w:pPr>
                  <w:r>
                    <w:rPr>
                      <w:rFonts w:ascii="Times New Roman" w:hAnsi="Times New Roman" w:cs="Times New Roman"/>
                    </w:rPr>
                    <w:t>与北向夹角</w:t>
                  </w:r>
                  <w:r>
                    <w:rPr>
                      <w:rFonts w:ascii="Times New Roman" w:hAnsi="Times New Roman" w:eastAsia="Times New Roman" w:cs="Times New Roman"/>
                    </w:rPr>
                    <w:t>/</w:t>
                  </w:r>
                  <w:r>
                    <w:rPr>
                      <w:rFonts w:ascii="Times New Roman" w:hAnsi="Times New Roman" w:cs="Times New Roman"/>
                    </w:rPr>
                    <w:t>º</w:t>
                  </w:r>
                </w:p>
              </w:tc>
              <w:tc>
                <w:tcPr>
                  <w:tcW w:w="691" w:type="dxa"/>
                  <w:vMerge w:val="restart"/>
                  <w:tcBorders>
                    <w:tl2br w:val="nil"/>
                    <w:tr2bl w:val="nil"/>
                  </w:tcBorders>
                  <w:vAlign w:val="center"/>
                </w:tcPr>
                <w:p>
                  <w:pPr>
                    <w:pStyle w:val="246"/>
                    <w:spacing w:before="24" w:line="278" w:lineRule="auto"/>
                    <w:ind w:left="160" w:right="113"/>
                    <w:jc w:val="center"/>
                    <w:rPr>
                      <w:rFonts w:ascii="Times New Roman" w:hAnsi="Times New Roman" w:cs="Times New Roman"/>
                    </w:rPr>
                  </w:pPr>
                  <w:r>
                    <w:rPr>
                      <w:rFonts w:ascii="Times New Roman" w:hAnsi="Times New Roman" w:cs="Times New Roman"/>
                      <w:spacing w:val="-9"/>
                    </w:rPr>
                    <w:t>面源有效排放高度</w:t>
                  </w:r>
                </w:p>
                <w:p>
                  <w:pPr>
                    <w:pStyle w:val="246"/>
                    <w:spacing w:before="14"/>
                    <w:ind w:left="259"/>
                    <w:jc w:val="center"/>
                    <w:rPr>
                      <w:rFonts w:ascii="Times New Roman" w:hAnsi="Times New Roman" w:cs="Times New Roman"/>
                    </w:rPr>
                  </w:pPr>
                  <w:r>
                    <w:rPr>
                      <w:rFonts w:ascii="Times New Roman" w:hAnsi="Times New Roman" w:cs="Times New Roman"/>
                    </w:rPr>
                    <w:t>/m</w:t>
                  </w:r>
                </w:p>
              </w:tc>
              <w:tc>
                <w:tcPr>
                  <w:tcW w:w="675" w:type="dxa"/>
                  <w:vMerge w:val="restart"/>
                  <w:tcBorders>
                    <w:tl2br w:val="nil"/>
                    <w:tr2bl w:val="nil"/>
                  </w:tcBorders>
                  <w:vAlign w:val="center"/>
                </w:tcPr>
                <w:p>
                  <w:pPr>
                    <w:pStyle w:val="246"/>
                    <w:spacing w:before="1"/>
                    <w:jc w:val="center"/>
                    <w:rPr>
                      <w:rFonts w:ascii="Times New Roman" w:hAnsi="Times New Roman" w:cs="Times New Roman"/>
                      <w:b/>
                      <w:sz w:val="14"/>
                    </w:rPr>
                  </w:pPr>
                </w:p>
                <w:p>
                  <w:pPr>
                    <w:pStyle w:val="246"/>
                    <w:spacing w:line="278" w:lineRule="auto"/>
                    <w:ind w:left="159" w:right="112"/>
                    <w:jc w:val="center"/>
                    <w:rPr>
                      <w:rFonts w:ascii="Times New Roman" w:hAnsi="Times New Roman" w:cs="Times New Roman"/>
                    </w:rPr>
                  </w:pPr>
                  <w:r>
                    <w:rPr>
                      <w:rFonts w:ascii="Times New Roman" w:hAnsi="Times New Roman" w:cs="Times New Roman"/>
                    </w:rPr>
                    <w:t>年排放小时数</w:t>
                  </w:r>
                </w:p>
                <w:p>
                  <w:pPr>
                    <w:pStyle w:val="246"/>
                    <w:spacing w:before="14"/>
                    <w:ind w:left="135" w:right="96"/>
                    <w:jc w:val="center"/>
                    <w:rPr>
                      <w:rFonts w:ascii="Times New Roman" w:hAnsi="Times New Roman" w:cs="Times New Roman"/>
                    </w:rPr>
                  </w:pPr>
                  <w:r>
                    <w:rPr>
                      <w:rFonts w:ascii="Times New Roman" w:hAnsi="Times New Roman" w:cs="Times New Roman"/>
                    </w:rPr>
                    <w:t>/h</w:t>
                  </w:r>
                </w:p>
              </w:tc>
              <w:tc>
                <w:tcPr>
                  <w:tcW w:w="730" w:type="dxa"/>
                  <w:vMerge w:val="restart"/>
                  <w:tcBorders>
                    <w:tl2br w:val="nil"/>
                    <w:tr2bl w:val="nil"/>
                  </w:tcBorders>
                  <w:vAlign w:val="center"/>
                </w:tcPr>
                <w:p>
                  <w:pPr>
                    <w:pStyle w:val="246"/>
                    <w:jc w:val="center"/>
                    <w:rPr>
                      <w:rFonts w:ascii="Times New Roman" w:hAnsi="Times New Roman" w:cs="Times New Roman"/>
                      <w:b/>
                      <w:sz w:val="20"/>
                    </w:rPr>
                  </w:pPr>
                </w:p>
                <w:p>
                  <w:pPr>
                    <w:pStyle w:val="246"/>
                    <w:spacing w:before="5"/>
                    <w:jc w:val="center"/>
                    <w:rPr>
                      <w:rFonts w:ascii="Times New Roman" w:hAnsi="Times New Roman" w:cs="Times New Roman"/>
                      <w:b/>
                      <w:sz w:val="18"/>
                    </w:rPr>
                  </w:pPr>
                </w:p>
                <w:p>
                  <w:pPr>
                    <w:pStyle w:val="246"/>
                    <w:spacing w:line="278" w:lineRule="auto"/>
                    <w:ind w:left="163" w:right="110"/>
                    <w:jc w:val="center"/>
                    <w:rPr>
                      <w:rFonts w:ascii="Times New Roman" w:hAnsi="Times New Roman" w:cs="Times New Roman"/>
                    </w:rPr>
                  </w:pPr>
                  <w:r>
                    <w:rPr>
                      <w:rFonts w:ascii="Times New Roman" w:hAnsi="Times New Roman" w:cs="Times New Roman"/>
                    </w:rPr>
                    <w:t>排放工况</w:t>
                  </w:r>
                </w:p>
              </w:tc>
              <w:tc>
                <w:tcPr>
                  <w:tcW w:w="1047" w:type="dxa"/>
                  <w:tcBorders>
                    <w:tl2br w:val="nil"/>
                    <w:tr2bl w:val="nil"/>
                  </w:tcBorders>
                  <w:vAlign w:val="center"/>
                </w:tcPr>
                <w:p>
                  <w:pPr>
                    <w:pStyle w:val="246"/>
                    <w:spacing w:before="15" w:line="310" w:lineRule="atLeast"/>
                    <w:ind w:right="-29"/>
                    <w:jc w:val="center"/>
                    <w:rPr>
                      <w:rFonts w:ascii="Times New Roman" w:hAnsi="Times New Roman" w:cs="Times New Roman"/>
                    </w:rPr>
                  </w:pPr>
                  <w:r>
                    <w:rPr>
                      <w:rFonts w:ascii="Times New Roman" w:hAnsi="Times New Roman" w:cs="Times New Roman"/>
                    </w:rPr>
                    <w:t>污染物排 放 速 率</w:t>
                  </w:r>
                  <w:r>
                    <w:rPr>
                      <w:rFonts w:ascii="Times New Roman" w:hAnsi="Times New Roman" w:eastAsia="Times New Roman" w:cs="Times New Roman"/>
                      <w:spacing w:val="-9"/>
                    </w:rPr>
                    <w:t>/</w:t>
                  </w:r>
                  <w:r>
                    <w:rPr>
                      <w:rFonts w:ascii="Times New Roman" w:hAnsi="Times New Roman" w:cs="Times New Roman"/>
                      <w:spacing w:val="-9"/>
                    </w:rPr>
                    <w:t>（</w:t>
                  </w:r>
                  <w:r>
                    <w:rPr>
                      <w:rFonts w:hint="eastAsia" w:ascii="Times New Roman" w:hAnsi="Times New Roman" w:cs="Times New Roman"/>
                      <w:spacing w:val="-9"/>
                      <w:lang w:val="en-US"/>
                    </w:rPr>
                    <w:t>kg/h</w:t>
                  </w:r>
                  <w:r>
                    <w:rPr>
                      <w:rFonts w:ascii="Times New Roman" w:hAnsi="Times New Roman" w:cs="Times New Roman"/>
                      <w:spacing w:val="-9"/>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1" w:hRule="atLeast"/>
                <w:jc w:val="center"/>
              </w:trPr>
              <w:tc>
                <w:tcPr>
                  <w:tcW w:w="537" w:type="dxa"/>
                  <w:vMerge w:val="continue"/>
                  <w:tcBorders>
                    <w:tl2br w:val="nil"/>
                    <w:tr2bl w:val="nil"/>
                  </w:tcBorders>
                  <w:vAlign w:val="center"/>
                </w:tcPr>
                <w:p>
                  <w:pPr>
                    <w:jc w:val="center"/>
                    <w:rPr>
                      <w:rFonts w:ascii="Times New Roman" w:hAnsi="Times New Roman" w:cs="Times New Roman"/>
                      <w:sz w:val="2"/>
                      <w:szCs w:val="2"/>
                    </w:rPr>
                  </w:pPr>
                </w:p>
              </w:tc>
              <w:tc>
                <w:tcPr>
                  <w:tcW w:w="599" w:type="dxa"/>
                  <w:vMerge w:val="continue"/>
                  <w:tcBorders>
                    <w:tl2br w:val="nil"/>
                    <w:tr2bl w:val="nil"/>
                  </w:tcBorders>
                  <w:vAlign w:val="center"/>
                </w:tcPr>
                <w:p>
                  <w:pPr>
                    <w:jc w:val="center"/>
                    <w:rPr>
                      <w:rFonts w:ascii="Times New Roman" w:hAnsi="Times New Roman" w:cs="Times New Roman"/>
                      <w:sz w:val="2"/>
                      <w:szCs w:val="2"/>
                    </w:rPr>
                  </w:pPr>
                </w:p>
              </w:tc>
              <w:tc>
                <w:tcPr>
                  <w:tcW w:w="1006" w:type="dxa"/>
                  <w:tcBorders>
                    <w:tl2br w:val="nil"/>
                    <w:tr2bl w:val="nil"/>
                  </w:tcBorders>
                  <w:vAlign w:val="center"/>
                </w:tcPr>
                <w:p>
                  <w:pPr>
                    <w:pStyle w:val="246"/>
                    <w:spacing w:before="146"/>
                    <w:ind w:left="27"/>
                    <w:jc w:val="center"/>
                    <w:rPr>
                      <w:rFonts w:ascii="Times New Roman" w:hAnsi="Times New Roman" w:cs="Times New Roman"/>
                    </w:rPr>
                  </w:pPr>
                  <w:r>
                    <w:rPr>
                      <w:rFonts w:ascii="Times New Roman" w:hAnsi="Times New Roman" w:cs="Times New Roman"/>
                    </w:rPr>
                    <w:t>X</w:t>
                  </w:r>
                </w:p>
              </w:tc>
              <w:tc>
                <w:tcPr>
                  <w:tcW w:w="1014" w:type="dxa"/>
                  <w:tcBorders>
                    <w:tl2br w:val="nil"/>
                    <w:tr2bl w:val="nil"/>
                  </w:tcBorders>
                  <w:vAlign w:val="center"/>
                </w:tcPr>
                <w:p>
                  <w:pPr>
                    <w:pStyle w:val="246"/>
                    <w:spacing w:before="146"/>
                    <w:ind w:left="31"/>
                    <w:jc w:val="center"/>
                    <w:rPr>
                      <w:rFonts w:ascii="Times New Roman" w:hAnsi="Times New Roman" w:cs="Times New Roman"/>
                    </w:rPr>
                  </w:pPr>
                  <w:r>
                    <w:rPr>
                      <w:rFonts w:ascii="Times New Roman" w:hAnsi="Times New Roman" w:cs="Times New Roman"/>
                    </w:rPr>
                    <w:t>Y</w:t>
                  </w:r>
                </w:p>
              </w:tc>
              <w:tc>
                <w:tcPr>
                  <w:tcW w:w="908" w:type="dxa"/>
                  <w:vMerge w:val="continue"/>
                  <w:tcBorders>
                    <w:tl2br w:val="nil"/>
                    <w:tr2bl w:val="nil"/>
                  </w:tcBorders>
                  <w:vAlign w:val="center"/>
                </w:tcPr>
                <w:p>
                  <w:pPr>
                    <w:jc w:val="center"/>
                    <w:rPr>
                      <w:rFonts w:ascii="Times New Roman" w:hAnsi="Times New Roman" w:cs="Times New Roman"/>
                      <w:sz w:val="2"/>
                      <w:szCs w:val="2"/>
                    </w:rPr>
                  </w:pPr>
                </w:p>
              </w:tc>
              <w:tc>
                <w:tcPr>
                  <w:tcW w:w="726" w:type="dxa"/>
                  <w:vMerge w:val="continue"/>
                  <w:tcBorders>
                    <w:tl2br w:val="nil"/>
                    <w:tr2bl w:val="nil"/>
                  </w:tcBorders>
                  <w:vAlign w:val="center"/>
                </w:tcPr>
                <w:p>
                  <w:pPr>
                    <w:jc w:val="center"/>
                    <w:rPr>
                      <w:rFonts w:ascii="Times New Roman" w:hAnsi="Times New Roman" w:cs="Times New Roman"/>
                      <w:sz w:val="2"/>
                      <w:szCs w:val="2"/>
                    </w:rPr>
                  </w:pPr>
                </w:p>
              </w:tc>
              <w:tc>
                <w:tcPr>
                  <w:tcW w:w="557" w:type="dxa"/>
                  <w:vMerge w:val="continue"/>
                  <w:tcBorders>
                    <w:tl2br w:val="nil"/>
                    <w:tr2bl w:val="nil"/>
                  </w:tcBorders>
                  <w:vAlign w:val="center"/>
                </w:tcPr>
                <w:p>
                  <w:pPr>
                    <w:jc w:val="center"/>
                    <w:rPr>
                      <w:rFonts w:ascii="Times New Roman" w:hAnsi="Times New Roman" w:cs="Times New Roman"/>
                      <w:sz w:val="2"/>
                      <w:szCs w:val="2"/>
                    </w:rPr>
                  </w:pPr>
                </w:p>
              </w:tc>
              <w:tc>
                <w:tcPr>
                  <w:tcW w:w="558" w:type="dxa"/>
                  <w:vMerge w:val="continue"/>
                  <w:tcBorders>
                    <w:tl2br w:val="nil"/>
                    <w:tr2bl w:val="nil"/>
                  </w:tcBorders>
                  <w:vAlign w:val="center"/>
                </w:tcPr>
                <w:p>
                  <w:pPr>
                    <w:jc w:val="center"/>
                    <w:rPr>
                      <w:rFonts w:ascii="Times New Roman" w:hAnsi="Times New Roman" w:cs="Times New Roman"/>
                      <w:sz w:val="2"/>
                      <w:szCs w:val="2"/>
                    </w:rPr>
                  </w:pPr>
                </w:p>
              </w:tc>
              <w:tc>
                <w:tcPr>
                  <w:tcW w:w="691" w:type="dxa"/>
                  <w:vMerge w:val="continue"/>
                  <w:tcBorders>
                    <w:tl2br w:val="nil"/>
                    <w:tr2bl w:val="nil"/>
                  </w:tcBorders>
                  <w:vAlign w:val="center"/>
                </w:tcPr>
                <w:p>
                  <w:pPr>
                    <w:jc w:val="center"/>
                    <w:rPr>
                      <w:rFonts w:ascii="Times New Roman" w:hAnsi="Times New Roman" w:cs="Times New Roman"/>
                      <w:sz w:val="2"/>
                      <w:szCs w:val="2"/>
                    </w:rPr>
                  </w:pPr>
                </w:p>
              </w:tc>
              <w:tc>
                <w:tcPr>
                  <w:tcW w:w="675" w:type="dxa"/>
                  <w:vMerge w:val="continue"/>
                  <w:tcBorders>
                    <w:tl2br w:val="nil"/>
                    <w:tr2bl w:val="nil"/>
                  </w:tcBorders>
                  <w:vAlign w:val="center"/>
                </w:tcPr>
                <w:p>
                  <w:pPr>
                    <w:jc w:val="center"/>
                    <w:rPr>
                      <w:rFonts w:ascii="Times New Roman" w:hAnsi="Times New Roman" w:cs="Times New Roman"/>
                      <w:sz w:val="2"/>
                      <w:szCs w:val="2"/>
                    </w:rPr>
                  </w:pPr>
                </w:p>
              </w:tc>
              <w:tc>
                <w:tcPr>
                  <w:tcW w:w="730" w:type="dxa"/>
                  <w:vMerge w:val="continue"/>
                  <w:tcBorders>
                    <w:tl2br w:val="nil"/>
                    <w:tr2bl w:val="nil"/>
                  </w:tcBorders>
                  <w:vAlign w:val="center"/>
                </w:tcPr>
                <w:p>
                  <w:pPr>
                    <w:jc w:val="center"/>
                    <w:rPr>
                      <w:rFonts w:ascii="Times New Roman" w:hAnsi="Times New Roman" w:cs="Times New Roman"/>
                      <w:sz w:val="2"/>
                      <w:szCs w:val="2"/>
                    </w:rPr>
                  </w:pPr>
                </w:p>
              </w:tc>
              <w:tc>
                <w:tcPr>
                  <w:tcW w:w="1047" w:type="dxa"/>
                  <w:tcBorders>
                    <w:tl2br w:val="nil"/>
                    <w:tr2bl w:val="nil"/>
                  </w:tcBorders>
                  <w:vAlign w:val="center"/>
                </w:tcPr>
                <w:p>
                  <w:pPr>
                    <w:pStyle w:val="246"/>
                    <w:spacing w:before="146"/>
                    <w:ind w:left="303" w:right="260"/>
                    <w:jc w:val="center"/>
                    <w:rPr>
                      <w:rFonts w:ascii="Times New Roman" w:hAnsi="Times New Roman" w:cs="Times New Roman"/>
                    </w:rPr>
                  </w:pPr>
                  <w:r>
                    <w:rPr>
                      <w:rFonts w:ascii="Times New Roman" w:hAnsi="Times New Roman" w:cs="Times New Roman"/>
                    </w:rPr>
                    <w:t>TSP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6" w:hRule="atLeast"/>
                <w:jc w:val="center"/>
              </w:trPr>
              <w:tc>
                <w:tcPr>
                  <w:tcW w:w="537" w:type="dxa"/>
                  <w:tcBorders>
                    <w:tl2br w:val="nil"/>
                    <w:tr2bl w:val="nil"/>
                  </w:tcBorders>
                  <w:vAlign w:val="center"/>
                </w:tcPr>
                <w:p>
                  <w:pPr>
                    <w:pStyle w:val="246"/>
                    <w:spacing w:before="195"/>
                    <w:ind w:left="46"/>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1</w:t>
                  </w:r>
                </w:p>
              </w:tc>
              <w:tc>
                <w:tcPr>
                  <w:tcW w:w="599" w:type="dxa"/>
                  <w:tcBorders>
                    <w:tl2br w:val="nil"/>
                    <w:tr2bl w:val="nil"/>
                  </w:tcBorders>
                  <w:vAlign w:val="center"/>
                </w:tcPr>
                <w:p>
                  <w:pPr>
                    <w:pStyle w:val="246"/>
                    <w:spacing w:before="43"/>
                    <w:ind w:left="99" w:right="69"/>
                    <w:jc w:val="center"/>
                    <w:rPr>
                      <w:rFonts w:ascii="Times New Roman" w:hAnsi="Times New Roman" w:cs="Times New Roman"/>
                      <w:lang w:val="en-US"/>
                    </w:rPr>
                  </w:pPr>
                  <w:r>
                    <w:rPr>
                      <w:rFonts w:ascii="Times New Roman" w:hAnsi="Times New Roman" w:cs="Times New Roman"/>
                      <w:lang w:val="en-US"/>
                    </w:rPr>
                    <w:t>生产车间</w:t>
                  </w:r>
                </w:p>
              </w:tc>
              <w:tc>
                <w:tcPr>
                  <w:tcW w:w="1006"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112.545259</w:t>
                  </w:r>
                </w:p>
              </w:tc>
              <w:tc>
                <w:tcPr>
                  <w:tcW w:w="101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38.5880841</w:t>
                  </w:r>
                </w:p>
              </w:tc>
              <w:tc>
                <w:tcPr>
                  <w:tcW w:w="908" w:type="dxa"/>
                  <w:tcBorders>
                    <w:tl2br w:val="nil"/>
                    <w:tr2bl w:val="nil"/>
                  </w:tcBorders>
                  <w:vAlign w:val="center"/>
                </w:tcPr>
                <w:p>
                  <w:pPr>
                    <w:pStyle w:val="246"/>
                    <w:spacing w:before="195"/>
                    <w:ind w:left="32"/>
                    <w:jc w:val="center"/>
                    <w:rPr>
                      <w:rFonts w:ascii="Times New Roman" w:hAnsi="Times New Roman" w:cs="Times New Roman"/>
                      <w:lang w:val="en-US"/>
                    </w:rPr>
                  </w:pPr>
                  <w:r>
                    <w:rPr>
                      <w:rFonts w:hint="eastAsia" w:ascii="Times New Roman" w:hAnsi="Times New Roman" w:cs="Times New Roman"/>
                      <w:szCs w:val="21"/>
                      <w:lang w:val="en-US"/>
                    </w:rPr>
                    <w:t>891.730</w:t>
                  </w:r>
                </w:p>
              </w:tc>
              <w:tc>
                <w:tcPr>
                  <w:tcW w:w="726" w:type="dxa"/>
                  <w:tcBorders>
                    <w:tl2br w:val="nil"/>
                    <w:tr2bl w:val="nil"/>
                  </w:tcBorders>
                  <w:vAlign w:val="center"/>
                </w:tcPr>
                <w:p>
                  <w:pPr>
                    <w:pStyle w:val="246"/>
                    <w:spacing w:before="195"/>
                    <w:ind w:left="240" w:right="208"/>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60</w:t>
                  </w:r>
                </w:p>
              </w:tc>
              <w:tc>
                <w:tcPr>
                  <w:tcW w:w="557" w:type="dxa"/>
                  <w:tcBorders>
                    <w:tl2br w:val="nil"/>
                    <w:tr2bl w:val="nil"/>
                  </w:tcBorders>
                  <w:vAlign w:val="center"/>
                </w:tcPr>
                <w:p>
                  <w:pPr>
                    <w:pStyle w:val="246"/>
                    <w:spacing w:before="195"/>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10</w:t>
                  </w:r>
                </w:p>
              </w:tc>
              <w:tc>
                <w:tcPr>
                  <w:tcW w:w="558" w:type="dxa"/>
                  <w:tcBorders>
                    <w:tl2br w:val="nil"/>
                    <w:tr2bl w:val="nil"/>
                  </w:tcBorders>
                  <w:vAlign w:val="center"/>
                </w:tcPr>
                <w:p>
                  <w:pPr>
                    <w:spacing w:before="195"/>
                    <w:ind w:left="40"/>
                    <w:jc w:val="center"/>
                    <w:rPr>
                      <w:rFonts w:ascii="Times New Roman" w:hAnsi="Times New Roman" w:cs="Times New Roman"/>
                    </w:rPr>
                  </w:pPr>
                  <w:r>
                    <w:rPr>
                      <w:rFonts w:hint="eastAsia" w:ascii="Times New Roman" w:hAnsi="Times New Roman" w:cs="Times New Roman"/>
                    </w:rPr>
                    <w:t>45</w:t>
                  </w:r>
                </w:p>
              </w:tc>
              <w:tc>
                <w:tcPr>
                  <w:tcW w:w="691" w:type="dxa"/>
                  <w:tcBorders>
                    <w:tl2br w:val="nil"/>
                    <w:tr2bl w:val="nil"/>
                  </w:tcBorders>
                  <w:vAlign w:val="center"/>
                </w:tcPr>
                <w:p>
                  <w:pPr>
                    <w:pStyle w:val="246"/>
                    <w:spacing w:before="195"/>
                    <w:ind w:left="40"/>
                    <w:jc w:val="center"/>
                    <w:rPr>
                      <w:rFonts w:ascii="Times New Roman" w:hAnsi="Times New Roman" w:cs="Times New Roman"/>
                    </w:rPr>
                  </w:pPr>
                  <w:r>
                    <w:rPr>
                      <w:rFonts w:hint="eastAsia" w:ascii="Times New Roman" w:hAnsi="Times New Roman" w:cs="Times New Roman"/>
                      <w:lang w:val="en-US"/>
                    </w:rPr>
                    <w:t>6</w:t>
                  </w:r>
                </w:p>
              </w:tc>
              <w:tc>
                <w:tcPr>
                  <w:tcW w:w="675" w:type="dxa"/>
                  <w:tcBorders>
                    <w:tl2br w:val="nil"/>
                    <w:tr2bl w:val="nil"/>
                  </w:tcBorders>
                  <w:vAlign w:val="center"/>
                </w:tcPr>
                <w:p>
                  <w:pPr>
                    <w:pStyle w:val="246"/>
                    <w:spacing w:before="195"/>
                    <w:ind w:left="141" w:right="96"/>
                    <w:jc w:val="center"/>
                    <w:rPr>
                      <w:rFonts w:ascii="Times New Roman" w:hAnsi="Times New Roman" w:cs="Times New Roman"/>
                    </w:rPr>
                  </w:pPr>
                  <w:r>
                    <w:rPr>
                      <w:rFonts w:ascii="Times New Roman" w:hAnsi="Times New Roman" w:cs="Times New Roman"/>
                    </w:rPr>
                    <w:t>2</w:t>
                  </w:r>
                  <w:r>
                    <w:rPr>
                      <w:rFonts w:hint="eastAsia" w:ascii="Times New Roman" w:hAnsi="Times New Roman" w:cs="Times New Roman"/>
                      <w:lang w:val="en-US"/>
                    </w:rPr>
                    <w:t>4</w:t>
                  </w:r>
                  <w:r>
                    <w:rPr>
                      <w:rFonts w:ascii="Times New Roman" w:hAnsi="Times New Roman" w:cs="Times New Roman"/>
                      <w:lang w:val="en-US"/>
                    </w:rPr>
                    <w:t>0</w:t>
                  </w:r>
                  <w:r>
                    <w:rPr>
                      <w:rFonts w:ascii="Times New Roman" w:hAnsi="Times New Roman" w:cs="Times New Roman"/>
                    </w:rPr>
                    <w:t>0</w:t>
                  </w:r>
                </w:p>
              </w:tc>
              <w:tc>
                <w:tcPr>
                  <w:tcW w:w="730" w:type="dxa"/>
                  <w:tcBorders>
                    <w:tl2br w:val="nil"/>
                    <w:tr2bl w:val="nil"/>
                  </w:tcBorders>
                  <w:vAlign w:val="center"/>
                </w:tcPr>
                <w:p>
                  <w:pPr>
                    <w:pStyle w:val="246"/>
                    <w:spacing w:before="25"/>
                    <w:ind w:left="163"/>
                    <w:jc w:val="center"/>
                    <w:rPr>
                      <w:rFonts w:ascii="Times New Roman" w:hAnsi="Times New Roman" w:cs="Times New Roman"/>
                    </w:rPr>
                  </w:pPr>
                  <w:r>
                    <w:rPr>
                      <w:rFonts w:ascii="Times New Roman" w:hAnsi="Times New Roman" w:cs="Times New Roman"/>
                    </w:rPr>
                    <w:t>正常</w:t>
                  </w:r>
                </w:p>
                <w:p>
                  <w:pPr>
                    <w:pStyle w:val="246"/>
                    <w:spacing w:before="43"/>
                    <w:ind w:left="163"/>
                    <w:jc w:val="center"/>
                    <w:rPr>
                      <w:rFonts w:ascii="Times New Roman" w:hAnsi="Times New Roman" w:cs="Times New Roman"/>
                    </w:rPr>
                  </w:pPr>
                  <w:r>
                    <w:rPr>
                      <w:rFonts w:ascii="Times New Roman" w:hAnsi="Times New Roman" w:cs="Times New Roman"/>
                    </w:rPr>
                    <w:t>排放</w:t>
                  </w:r>
                </w:p>
              </w:tc>
              <w:tc>
                <w:tcPr>
                  <w:tcW w:w="1047" w:type="dxa"/>
                  <w:tcBorders>
                    <w:tl2br w:val="nil"/>
                    <w:tr2bl w:val="nil"/>
                  </w:tcBorders>
                  <w:vAlign w:val="center"/>
                </w:tcPr>
                <w:p>
                  <w:pPr>
                    <w:pStyle w:val="246"/>
                    <w:spacing w:before="195"/>
                    <w:ind w:left="303" w:right="260"/>
                    <w:jc w:val="center"/>
                    <w:rPr>
                      <w:rFonts w:hint="eastAsia" w:ascii="Times New Roman" w:hAnsi="Times New Roman" w:eastAsia="宋体" w:cs="Times New Roman"/>
                      <w:lang w:val="en-US" w:eastAsia="zh-CN"/>
                    </w:rPr>
                  </w:pPr>
                  <w:r>
                    <w:rPr>
                      <w:rFonts w:hint="eastAsia" w:ascii="Times New Roman" w:hAnsi="Times New Roman" w:cs="Times New Roman"/>
                      <w:lang w:val="en-US"/>
                    </w:rPr>
                    <w:t>0.</w:t>
                  </w:r>
                  <w:r>
                    <w:rPr>
                      <w:rFonts w:hint="eastAsia" w:ascii="Times New Roman" w:hAnsi="Times New Roman" w:cs="Times New Roman"/>
                      <w:lang w:val="en-US" w:eastAsia="zh-CN"/>
                    </w:rPr>
                    <w:t>1</w:t>
                  </w:r>
                </w:p>
              </w:tc>
            </w:tr>
          </w:tbl>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（2）估算模式</w:t>
            </w:r>
          </w:p>
          <w:p>
            <w:pPr>
              <w:snapToGrid w:val="0"/>
              <w:spacing w:line="480" w:lineRule="exact"/>
              <w:ind w:firstLine="504"/>
              <w:jc w:val="left"/>
              <w:rPr>
                <w:rFonts w:ascii="Times New Roman" w:hAnsi="Times New Roman" w:cs="Times New Roman"/>
              </w:rPr>
            </w:pPr>
            <w:r>
              <w:rPr>
                <w:rFonts w:ascii="Times New Roman" w:hAnsi="Times New Roman" w:cs="Times New Roman"/>
                <w:spacing w:val="6"/>
                <w:sz w:val="24"/>
              </w:rPr>
              <w:t>AERSCREEN估算模式是基于AERMOD内核算法开发的单源估算模型，可计算污染源包括点源、带盖点源、水平点源、矩形面源、圆形面源、体源和火炬源，能够考虑地形、熏烟和建筑物下洗的影响，可以输出1小时、8小时、24小时平均、及年均地面浓度最大值，评价评价源对周边空气环境的影响程度和范围。</w:t>
            </w:r>
          </w:p>
          <w:p>
            <w:pPr>
              <w:ind w:firstLine="482"/>
              <w:jc w:val="center"/>
              <w:rPr>
                <w:rFonts w:ascii="Times New Roman" w:hAnsi="Times New Roman" w:cs="Times New Roman"/>
              </w:rPr>
            </w:pPr>
            <w:r>
              <w:rPr>
                <w:rFonts w:ascii="Times New Roman" w:hAnsi="Times New Roman" w:cs="Times New Roman"/>
              </w:rPr>
              <w:drawing>
                <wp:inline distT="0" distB="0" distL="114300" distR="114300">
                  <wp:extent cx="905510" cy="494030"/>
                  <wp:effectExtent l="0" t="0" r="0" b="1270"/>
                  <wp:docPr id="23" name="图片 21" descr="wpsF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wpsFF40"/>
                          <pic:cNvPicPr>
                            <a:picLocks noChangeAspect="1"/>
                          </pic:cNvPicPr>
                        </pic:nvPicPr>
                        <pic:blipFill>
                          <a:blip r:embed="rId14"/>
                          <a:stretch>
                            <a:fillRect/>
                          </a:stretch>
                        </pic:blipFill>
                        <pic:spPr>
                          <a:xfrm>
                            <a:off x="0" y="0"/>
                            <a:ext cx="905510" cy="494030"/>
                          </a:xfrm>
                          <a:prstGeom prst="rect">
                            <a:avLst/>
                          </a:prstGeom>
                          <a:noFill/>
                          <a:ln>
                            <a:noFill/>
                          </a:ln>
                        </pic:spPr>
                      </pic:pic>
                    </a:graphicData>
                  </a:graphic>
                </wp:inline>
              </w:drawing>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式中：Pi—第i个污染物的最大地面浓度占标率，%；</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Ci—采用估算模式计算出的第i个污染物的最大地面浓度，µg/m</w:t>
            </w:r>
            <w:r>
              <w:rPr>
                <w:rFonts w:ascii="Times New Roman" w:hAnsi="Times New Roman" w:cs="Times New Roman"/>
                <w:spacing w:val="6"/>
                <w:sz w:val="24"/>
                <w:vertAlign w:val="superscript"/>
              </w:rPr>
              <w:t>3</w:t>
            </w:r>
            <w:r>
              <w:rPr>
                <w:rFonts w:ascii="Times New Roman" w:hAnsi="Times New Roman" w:cs="Times New Roman"/>
                <w:spacing w:val="6"/>
                <w:sz w:val="24"/>
              </w:rPr>
              <w:t>；</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Coi—一般选用GB3095中1小时平均取样时间的二级标准的浓度限值，对于没有小时浓度限值的污染物，取日均浓度限值的3倍值。</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（3）预测因子</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结合本项目大气环境影响评价因子，本次大气预测因子选取为PM</w:t>
            </w:r>
            <w:r>
              <w:rPr>
                <w:rFonts w:ascii="Times New Roman" w:hAnsi="Times New Roman" w:cs="Times New Roman"/>
                <w:spacing w:val="6"/>
                <w:sz w:val="24"/>
                <w:vertAlign w:val="subscript"/>
              </w:rPr>
              <w:t>10</w:t>
            </w:r>
            <w:r>
              <w:rPr>
                <w:rFonts w:ascii="Times New Roman" w:hAnsi="Times New Roman" w:cs="Times New Roman"/>
                <w:spacing w:val="6"/>
                <w:sz w:val="24"/>
              </w:rPr>
              <w:t>。</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（4）预测标准</w:t>
            </w:r>
          </w:p>
          <w:p>
            <w:pPr>
              <w:snapToGrid w:val="0"/>
              <w:spacing w:line="480" w:lineRule="exact"/>
              <w:ind w:firstLine="504"/>
              <w:jc w:val="left"/>
              <w:rPr>
                <w:rFonts w:ascii="Times New Roman" w:hAnsi="Times New Roman" w:cs="Times New Roman"/>
              </w:rPr>
            </w:pPr>
            <w:r>
              <w:rPr>
                <w:rFonts w:ascii="Times New Roman" w:hAnsi="Times New Roman" w:cs="Times New Roman"/>
                <w:spacing w:val="6"/>
                <w:sz w:val="24"/>
              </w:rPr>
              <w:t>对正常生产时预测结果的分析评价采用下表中所列标准。</w:t>
            </w:r>
          </w:p>
          <w:p>
            <w:pPr>
              <w:adjustRightInd w:val="0"/>
              <w:snapToGrid w:val="0"/>
              <w:jc w:val="center"/>
              <w:rPr>
                <w:rFonts w:ascii="Times New Roman" w:hAnsi="Times New Roman" w:cs="Times New Roman"/>
                <w:b/>
                <w:sz w:val="24"/>
              </w:rPr>
            </w:pPr>
            <w:r>
              <w:rPr>
                <w:rFonts w:ascii="Times New Roman" w:hAnsi="Times New Roman" w:cs="Times New Roman"/>
                <w:b/>
                <w:sz w:val="24"/>
              </w:rPr>
              <w:t>表</w:t>
            </w:r>
            <w:r>
              <w:rPr>
                <w:rFonts w:hint="eastAsia" w:ascii="Times New Roman" w:hAnsi="Times New Roman" w:cs="Times New Roman"/>
                <w:b/>
                <w:sz w:val="24"/>
              </w:rPr>
              <w:t>7-7</w:t>
            </w:r>
            <w:r>
              <w:rPr>
                <w:rFonts w:ascii="Times New Roman" w:hAnsi="Times New Roman" w:cs="Times New Roman"/>
                <w:b/>
                <w:sz w:val="24"/>
              </w:rPr>
              <w:t>环境空气质量标准一览表</w:t>
            </w:r>
          </w:p>
          <w:tbl>
            <w:tblPr>
              <w:tblStyle w:val="4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869"/>
              <w:gridCol w:w="2601"/>
              <w:gridCol w:w="35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869" w:type="dxa"/>
                  <w:tcBorders>
                    <w:tl2br w:val="nil"/>
                    <w:tr2bl w:val="nil"/>
                  </w:tcBorders>
                  <w:vAlign w:val="center"/>
                </w:tcPr>
                <w:p>
                  <w:pPr>
                    <w:autoSpaceDE w:val="0"/>
                    <w:autoSpaceDN w:val="0"/>
                    <w:adjustRightInd w:val="0"/>
                    <w:jc w:val="center"/>
                    <w:rPr>
                      <w:rFonts w:ascii="Times New Roman" w:hAnsi="Times New Roman" w:cs="Times New Roman"/>
                      <w:szCs w:val="21"/>
                    </w:rPr>
                  </w:pPr>
                  <w:r>
                    <w:rPr>
                      <w:rFonts w:ascii="Times New Roman" w:hAnsi="Times New Roman" w:cs="Times New Roman"/>
                      <w:szCs w:val="21"/>
                    </w:rPr>
                    <w:t>污染物名称</w:t>
                  </w:r>
                </w:p>
              </w:tc>
              <w:tc>
                <w:tcPr>
                  <w:tcW w:w="2601" w:type="dxa"/>
                  <w:tcBorders>
                    <w:tl2br w:val="nil"/>
                    <w:tr2bl w:val="nil"/>
                  </w:tcBorders>
                  <w:vAlign w:val="center"/>
                </w:tcPr>
                <w:p>
                  <w:pPr>
                    <w:autoSpaceDE w:val="0"/>
                    <w:autoSpaceDN w:val="0"/>
                    <w:adjustRightInd w:val="0"/>
                    <w:jc w:val="center"/>
                    <w:rPr>
                      <w:rFonts w:ascii="Times New Roman" w:hAnsi="Times New Roman" w:cs="Times New Roman"/>
                      <w:szCs w:val="21"/>
                    </w:rPr>
                  </w:pPr>
                  <w:r>
                    <w:rPr>
                      <w:rFonts w:ascii="Times New Roman" w:hAnsi="Times New Roman" w:cs="Times New Roman"/>
                      <w:szCs w:val="21"/>
                    </w:rPr>
                    <w:t>取值时间</w:t>
                  </w:r>
                </w:p>
              </w:tc>
              <w:tc>
                <w:tcPr>
                  <w:tcW w:w="3562" w:type="dxa"/>
                  <w:tcBorders>
                    <w:tl2br w:val="nil"/>
                    <w:tr2bl w:val="nil"/>
                  </w:tcBorders>
                  <w:vAlign w:val="center"/>
                </w:tcPr>
                <w:p>
                  <w:pPr>
                    <w:autoSpaceDE w:val="0"/>
                    <w:autoSpaceDN w:val="0"/>
                    <w:adjustRightInd w:val="0"/>
                    <w:jc w:val="center"/>
                    <w:rPr>
                      <w:rFonts w:ascii="Times New Roman" w:hAnsi="Times New Roman" w:cs="Times New Roman"/>
                      <w:szCs w:val="21"/>
                    </w:rPr>
                  </w:pPr>
                  <w:r>
                    <w:rPr>
                      <w:rFonts w:ascii="Times New Roman" w:hAnsi="Times New Roman" w:cs="Times New Roman"/>
                      <w:szCs w:val="21"/>
                    </w:rPr>
                    <w:t>浓度限值（二级标准）μg/Nm</w:t>
                  </w:r>
                  <w:r>
                    <w:rPr>
                      <w:rFonts w:ascii="Times New Roman" w:hAnsi="Times New Roman" w:cs="Times New Roman"/>
                      <w:szCs w:val="21"/>
                      <w:vertAlign w:val="superscript"/>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869" w:type="dxa"/>
                  <w:tcBorders>
                    <w:tl2br w:val="nil"/>
                    <w:tr2bl w:val="nil"/>
                  </w:tcBorders>
                  <w:vAlign w:val="center"/>
                </w:tcPr>
                <w:p>
                  <w:pPr>
                    <w:autoSpaceDE w:val="0"/>
                    <w:autoSpaceDN w:val="0"/>
                    <w:adjustRightInd w:val="0"/>
                    <w:jc w:val="center"/>
                    <w:rPr>
                      <w:rFonts w:ascii="Times New Roman" w:hAnsi="Times New Roman" w:cs="Times New Roman"/>
                      <w:szCs w:val="21"/>
                    </w:rPr>
                  </w:pPr>
                  <w:r>
                    <w:rPr>
                      <w:rFonts w:ascii="Times New Roman" w:hAnsi="Times New Roman" w:cs="Times New Roman"/>
                      <w:szCs w:val="21"/>
                    </w:rPr>
                    <w:t>PM</w:t>
                  </w:r>
                  <w:r>
                    <w:rPr>
                      <w:rFonts w:ascii="Times New Roman" w:hAnsi="Times New Roman" w:cs="Times New Roman"/>
                      <w:szCs w:val="21"/>
                      <w:vertAlign w:val="subscript"/>
                    </w:rPr>
                    <w:t>10</w:t>
                  </w:r>
                </w:p>
              </w:tc>
              <w:tc>
                <w:tcPr>
                  <w:tcW w:w="2601" w:type="dxa"/>
                  <w:tcBorders>
                    <w:tl2br w:val="nil"/>
                    <w:tr2bl w:val="nil"/>
                  </w:tcBorders>
                  <w:vAlign w:val="center"/>
                </w:tcPr>
                <w:p>
                  <w:pPr>
                    <w:autoSpaceDE w:val="0"/>
                    <w:autoSpaceDN w:val="0"/>
                    <w:adjustRightInd w:val="0"/>
                    <w:jc w:val="center"/>
                    <w:rPr>
                      <w:rFonts w:ascii="Times New Roman" w:hAnsi="Times New Roman" w:cs="Times New Roman"/>
                      <w:szCs w:val="21"/>
                    </w:rPr>
                  </w:pPr>
                  <w:r>
                    <w:rPr>
                      <w:rFonts w:ascii="Times New Roman" w:hAnsi="Times New Roman" w:cs="Times New Roman"/>
                      <w:szCs w:val="21"/>
                    </w:rPr>
                    <w:t>1小时平均</w:t>
                  </w:r>
                </w:p>
              </w:tc>
              <w:tc>
                <w:tcPr>
                  <w:tcW w:w="3562" w:type="dxa"/>
                  <w:tcBorders>
                    <w:tl2br w:val="nil"/>
                    <w:tr2bl w:val="nil"/>
                  </w:tcBorders>
                  <w:vAlign w:val="center"/>
                </w:tcPr>
                <w:p>
                  <w:pPr>
                    <w:autoSpaceDE w:val="0"/>
                    <w:autoSpaceDN w:val="0"/>
                    <w:adjustRightInd w:val="0"/>
                    <w:jc w:val="center"/>
                    <w:rPr>
                      <w:rFonts w:ascii="Times New Roman" w:hAnsi="Times New Roman" w:cs="Times New Roman"/>
                      <w:szCs w:val="21"/>
                    </w:rPr>
                  </w:pPr>
                  <w:r>
                    <w:rPr>
                      <w:rFonts w:ascii="Times New Roman" w:hAnsi="Times New Roman" w:cs="Times New Roman"/>
                      <w:szCs w:val="21"/>
                    </w:rPr>
                    <w:t>450（取日均浓度的三倍值）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869" w:type="dxa"/>
                  <w:tcBorders>
                    <w:tl2br w:val="nil"/>
                    <w:tr2bl w:val="nil"/>
                  </w:tcBorders>
                </w:tcPr>
                <w:p>
                  <w:pPr>
                    <w:pStyle w:val="246"/>
                    <w:spacing w:before="36"/>
                    <w:ind w:left="115" w:right="86"/>
                    <w:jc w:val="center"/>
                    <w:rPr>
                      <w:rFonts w:ascii="Times New Roman" w:hAnsi="Times New Roman" w:cs="Times New Roman"/>
                    </w:rPr>
                  </w:pPr>
                  <w:r>
                    <w:rPr>
                      <w:rFonts w:ascii="Times New Roman" w:hAnsi="Times New Roman" w:cs="Times New Roman"/>
                    </w:rPr>
                    <w:t>TSP</w:t>
                  </w:r>
                </w:p>
              </w:tc>
              <w:tc>
                <w:tcPr>
                  <w:tcW w:w="2601" w:type="dxa"/>
                  <w:tcBorders>
                    <w:tl2br w:val="nil"/>
                    <w:tr2bl w:val="nil"/>
                  </w:tcBorders>
                </w:tcPr>
                <w:p>
                  <w:pPr>
                    <w:pStyle w:val="246"/>
                    <w:spacing w:before="22"/>
                    <w:ind w:left="115" w:right="88"/>
                    <w:jc w:val="center"/>
                    <w:rPr>
                      <w:rFonts w:ascii="Times New Roman" w:hAnsi="Times New Roman" w:cs="Times New Roman"/>
                    </w:rPr>
                  </w:pPr>
                  <w:r>
                    <w:rPr>
                      <w:rFonts w:ascii="Times New Roman" w:hAnsi="Times New Roman" w:cs="Times New Roman"/>
                    </w:rPr>
                    <w:t>折算成小时值</w:t>
                  </w:r>
                </w:p>
              </w:tc>
              <w:tc>
                <w:tcPr>
                  <w:tcW w:w="3562" w:type="dxa"/>
                  <w:tcBorders>
                    <w:tl2br w:val="nil"/>
                    <w:tr2bl w:val="nil"/>
                  </w:tcBorders>
                </w:tcPr>
                <w:p>
                  <w:pPr>
                    <w:pStyle w:val="246"/>
                    <w:spacing w:before="36"/>
                    <w:ind w:left="115" w:right="90"/>
                    <w:jc w:val="center"/>
                    <w:rPr>
                      <w:rFonts w:ascii="Times New Roman" w:hAnsi="Times New Roman" w:cs="Times New Roman"/>
                      <w:lang w:val="en-US"/>
                    </w:rPr>
                  </w:pPr>
                  <w:r>
                    <w:rPr>
                      <w:rFonts w:ascii="Times New Roman" w:hAnsi="Times New Roman" w:cs="Times New Roman"/>
                      <w:lang w:val="en-US"/>
                    </w:rPr>
                    <w:t>900</w:t>
                  </w:r>
                  <w:r>
                    <w:rPr>
                      <w:rFonts w:ascii="Times New Roman" w:hAnsi="Times New Roman" w:cs="Times New Roman"/>
                      <w:szCs w:val="21"/>
                    </w:rPr>
                    <w:t>（取日均浓度的三倍值）</w:t>
                  </w:r>
                </w:p>
              </w:tc>
            </w:tr>
          </w:tbl>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（5）估算模型参数</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估算模型参数见下表。</w:t>
            </w:r>
          </w:p>
          <w:p>
            <w:pPr>
              <w:adjustRightInd w:val="0"/>
              <w:snapToGrid w:val="0"/>
              <w:jc w:val="center"/>
              <w:rPr>
                <w:rFonts w:ascii="Times New Roman" w:hAnsi="Times New Roman" w:cs="Times New Roman"/>
                <w:b/>
                <w:sz w:val="24"/>
              </w:rPr>
            </w:pPr>
            <w:r>
              <w:rPr>
                <w:rFonts w:ascii="Times New Roman" w:hAnsi="Times New Roman" w:cs="Times New Roman"/>
                <w:b/>
                <w:sz w:val="24"/>
              </w:rPr>
              <w:t>表</w:t>
            </w:r>
            <w:r>
              <w:rPr>
                <w:rFonts w:hint="eastAsia" w:ascii="Times New Roman" w:hAnsi="Times New Roman" w:cs="Times New Roman"/>
                <w:b/>
                <w:sz w:val="24"/>
              </w:rPr>
              <w:t>7-8</w:t>
            </w:r>
            <w:r>
              <w:rPr>
                <w:rFonts w:ascii="Times New Roman" w:hAnsi="Times New Roman" w:cs="Times New Roman"/>
                <w:b/>
                <w:sz w:val="24"/>
              </w:rPr>
              <w:t>估算模型参数表</w:t>
            </w:r>
          </w:p>
          <w:tbl>
            <w:tblPr>
              <w:tblStyle w:val="4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03"/>
              <w:gridCol w:w="2618"/>
              <w:gridCol w:w="43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729" w:type="dxa"/>
                  <w:gridSpan w:val="2"/>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参数</w:t>
                  </w:r>
                </w:p>
              </w:tc>
              <w:tc>
                <w:tcPr>
                  <w:tcW w:w="434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取值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10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城市/农村选项</w:t>
                  </w:r>
                </w:p>
              </w:tc>
              <w:tc>
                <w:tcPr>
                  <w:tcW w:w="262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城市/农村</w:t>
                  </w:r>
                </w:p>
              </w:tc>
              <w:tc>
                <w:tcPr>
                  <w:tcW w:w="434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农村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7" w:hRule="atLeast"/>
                <w:jc w:val="center"/>
              </w:trPr>
              <w:tc>
                <w:tcPr>
                  <w:tcW w:w="4729" w:type="dxa"/>
                  <w:gridSpan w:val="2"/>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最高环境温度/℃</w:t>
                  </w:r>
                </w:p>
              </w:tc>
              <w:tc>
                <w:tcPr>
                  <w:tcW w:w="4341" w:type="dxa"/>
                  <w:tcBorders>
                    <w:tl2br w:val="nil"/>
                    <w:tr2bl w:val="nil"/>
                  </w:tcBorders>
                  <w:vAlign w:val="center"/>
                </w:tcPr>
                <w:p>
                  <w:pPr>
                    <w:autoSpaceDE w:val="0"/>
                    <w:autoSpaceDN w:val="0"/>
                    <w:jc w:val="center"/>
                    <w:rPr>
                      <w:rFonts w:ascii="Times New Roman" w:hAnsi="Times New Roman" w:cs="Times New Roman"/>
                      <w:szCs w:val="21"/>
                    </w:rPr>
                  </w:pPr>
                  <w:r>
                    <w:rPr>
                      <w:rFonts w:ascii="Times New Roman" w:hAnsi="Times New Roman" w:cs="Times New Roman"/>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729" w:type="dxa"/>
                  <w:gridSpan w:val="2"/>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最低环境温度/℃</w:t>
                  </w:r>
                </w:p>
              </w:tc>
              <w:tc>
                <w:tcPr>
                  <w:tcW w:w="4341" w:type="dxa"/>
                  <w:tcBorders>
                    <w:tl2br w:val="nil"/>
                    <w:tr2bl w:val="nil"/>
                  </w:tcBorders>
                  <w:vAlign w:val="center"/>
                </w:tcPr>
                <w:p>
                  <w:pPr>
                    <w:autoSpaceDE w:val="0"/>
                    <w:autoSpaceDN w:val="0"/>
                    <w:jc w:val="center"/>
                    <w:rPr>
                      <w:rFonts w:ascii="Times New Roman" w:hAnsi="Times New Roman" w:cs="Times New Roman"/>
                      <w:szCs w:val="21"/>
                    </w:rPr>
                  </w:pPr>
                  <w:r>
                    <w:rPr>
                      <w:rFonts w:ascii="Times New Roman" w:hAnsi="Times New Roman" w:cs="Times New Roman"/>
                      <w:szCs w:val="21"/>
                    </w:rPr>
                    <w:t>-25.5℃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87" w:hRule="atLeast"/>
                <w:jc w:val="center"/>
              </w:trPr>
              <w:tc>
                <w:tcPr>
                  <w:tcW w:w="4729" w:type="dxa"/>
                  <w:gridSpan w:val="2"/>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土地利用类型</w:t>
                  </w:r>
                </w:p>
              </w:tc>
              <w:tc>
                <w:tcPr>
                  <w:tcW w:w="434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耕地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729" w:type="dxa"/>
                  <w:gridSpan w:val="2"/>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区域湿度条件</w:t>
                  </w:r>
                </w:p>
              </w:tc>
              <w:tc>
                <w:tcPr>
                  <w:tcW w:w="434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半干旱区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107" w:type="dxa"/>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是否考虑地形</w:t>
                  </w:r>
                </w:p>
              </w:tc>
              <w:tc>
                <w:tcPr>
                  <w:tcW w:w="262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考虑地形</w:t>
                  </w:r>
                </w:p>
              </w:tc>
              <w:tc>
                <w:tcPr>
                  <w:tcW w:w="434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107" w:type="dxa"/>
                  <w:vMerge w:val="continue"/>
                  <w:tcBorders>
                    <w:tl2br w:val="nil"/>
                    <w:tr2bl w:val="nil"/>
                  </w:tcBorders>
                  <w:vAlign w:val="center"/>
                </w:tcPr>
                <w:p>
                  <w:pPr>
                    <w:widowControl/>
                    <w:jc w:val="left"/>
                    <w:rPr>
                      <w:rFonts w:ascii="Times New Roman" w:hAnsi="Times New Roman" w:cs="Times New Roman"/>
                      <w:szCs w:val="21"/>
                    </w:rPr>
                  </w:pPr>
                </w:p>
              </w:tc>
              <w:tc>
                <w:tcPr>
                  <w:tcW w:w="262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地形数据分辨率/m</w:t>
                  </w:r>
                </w:p>
              </w:tc>
              <w:tc>
                <w:tcPr>
                  <w:tcW w:w="4341" w:type="dxa"/>
                  <w:tcBorders>
                    <w:tl2br w:val="nil"/>
                    <w:tr2bl w:val="nil"/>
                  </w:tcBorders>
                  <w:vAlign w:val="center"/>
                </w:tcPr>
                <w:p>
                  <w:pPr>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10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是否考虑岸线熏烟</w:t>
                  </w:r>
                </w:p>
              </w:tc>
              <w:tc>
                <w:tcPr>
                  <w:tcW w:w="262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考虑岸线熏烟</w:t>
                  </w:r>
                </w:p>
              </w:tc>
              <w:tc>
                <w:tcPr>
                  <w:tcW w:w="4341"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否</w:t>
                  </w:r>
                </w:p>
              </w:tc>
            </w:tr>
          </w:tbl>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（6）估算模式计算结果</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采用估算模式计算PM</w:t>
            </w:r>
            <w:r>
              <w:rPr>
                <w:rFonts w:ascii="Times New Roman" w:hAnsi="Times New Roman" w:cs="Times New Roman"/>
                <w:spacing w:val="6"/>
                <w:sz w:val="24"/>
                <w:vertAlign w:val="subscript"/>
              </w:rPr>
              <w:t>10</w:t>
            </w:r>
            <w:r>
              <w:rPr>
                <w:rFonts w:ascii="Times New Roman" w:hAnsi="Times New Roman" w:cs="Times New Roman"/>
                <w:spacing w:val="6"/>
                <w:sz w:val="24"/>
              </w:rPr>
              <w:t>在复杂地形、全气象组合情况下地面影响质量浓度和范围，并计算相应的占标率。本次评价分别取各污染源污染物估算结果最大值作为环境空气质量预测分析的数据，见下表。</w:t>
            </w:r>
          </w:p>
          <w:p>
            <w:pPr>
              <w:adjustRightInd w:val="0"/>
              <w:snapToGrid w:val="0"/>
              <w:jc w:val="center"/>
              <w:rPr>
                <w:rFonts w:ascii="Times New Roman" w:hAnsi="Times New Roman" w:cs="Times New Roman"/>
                <w:b/>
                <w:sz w:val="24"/>
              </w:rPr>
            </w:pPr>
            <w:r>
              <w:rPr>
                <w:rFonts w:ascii="Times New Roman" w:hAnsi="Times New Roman" w:cs="Times New Roman"/>
                <w:b/>
                <w:sz w:val="24"/>
              </w:rPr>
              <w:t>表</w:t>
            </w:r>
            <w:r>
              <w:rPr>
                <w:rFonts w:hint="eastAsia" w:ascii="Times New Roman" w:hAnsi="Times New Roman" w:cs="Times New Roman"/>
                <w:b/>
                <w:sz w:val="24"/>
              </w:rPr>
              <w:t>7-9</w:t>
            </w:r>
            <w:r>
              <w:rPr>
                <w:rFonts w:ascii="Times New Roman" w:hAnsi="Times New Roman" w:cs="Times New Roman"/>
                <w:b/>
                <w:sz w:val="24"/>
              </w:rPr>
              <w:t xml:space="preserve"> 大气污染物估算模式计算结果（有组织）</w:t>
            </w:r>
          </w:p>
          <w:tbl>
            <w:tblPr>
              <w:tblStyle w:val="4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639"/>
              <w:gridCol w:w="3562"/>
              <w:gridCol w:w="28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644" w:type="dxa"/>
                  <w:vMerge w:val="restart"/>
                  <w:tcBorders>
                    <w:tl2br w:val="nil"/>
                    <w:tr2bl w:val="nil"/>
                  </w:tcBorders>
                  <w:vAlign w:val="center"/>
                </w:tcPr>
                <w:p>
                  <w:pPr>
                    <w:jc w:val="center"/>
                    <w:rPr>
                      <w:rFonts w:ascii="Times New Roman" w:hAnsi="Times New Roman" w:cs="Times New Roman"/>
                      <w:b/>
                      <w:kern w:val="0"/>
                      <w:szCs w:val="21"/>
                    </w:rPr>
                  </w:pPr>
                  <w:r>
                    <w:rPr>
                      <w:rFonts w:ascii="Times New Roman" w:hAnsi="Times New Roman" w:cs="Times New Roman"/>
                      <w:b/>
                      <w:kern w:val="0"/>
                      <w:szCs w:val="21"/>
                    </w:rPr>
                    <w:t>距源中心下风距离/m</w:t>
                  </w:r>
                </w:p>
              </w:tc>
              <w:tc>
                <w:tcPr>
                  <w:tcW w:w="6425" w:type="dxa"/>
                  <w:gridSpan w:val="2"/>
                  <w:tcBorders>
                    <w:tl2br w:val="nil"/>
                    <w:tr2bl w:val="nil"/>
                  </w:tcBorders>
                  <w:vAlign w:val="center"/>
                </w:tcPr>
                <w:p>
                  <w:pPr>
                    <w:pStyle w:val="86"/>
                    <w:spacing w:line="240" w:lineRule="auto"/>
                    <w:ind w:firstLine="482"/>
                    <w:rPr>
                      <w:b/>
                      <w:color w:val="auto"/>
                      <w:spacing w:val="4"/>
                    </w:rPr>
                  </w:pPr>
                  <w:r>
                    <w:rPr>
                      <w:rFonts w:hint="eastAsia"/>
                      <w:b/>
                      <w:color w:val="auto"/>
                      <w:lang w:eastAsia="zh-CN"/>
                    </w:rPr>
                    <w:t>进料、</w:t>
                  </w:r>
                  <w:r>
                    <w:rPr>
                      <w:b/>
                      <w:color w:val="auto"/>
                    </w:rPr>
                    <w:t>破碎</w:t>
                  </w:r>
                  <w:r>
                    <w:rPr>
                      <w:rFonts w:hint="eastAsia"/>
                      <w:b/>
                      <w:color w:val="auto"/>
                    </w:rPr>
                    <w:t>、振筛</w:t>
                  </w:r>
                  <w:r>
                    <w:rPr>
                      <w:b/>
                      <w:color w:val="auto"/>
                    </w:rPr>
                    <w:t>工段排气筒PM</w:t>
                  </w:r>
                  <w:r>
                    <w:rPr>
                      <w:b/>
                      <w:color w:val="auto"/>
                      <w:vertAlign w:val="subscript"/>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644" w:type="dxa"/>
                  <w:vMerge w:val="continue"/>
                  <w:tcBorders>
                    <w:tl2br w:val="nil"/>
                    <w:tr2bl w:val="nil"/>
                  </w:tcBorders>
                  <w:vAlign w:val="center"/>
                </w:tcPr>
                <w:p>
                  <w:pPr>
                    <w:widowControl/>
                    <w:jc w:val="center"/>
                    <w:rPr>
                      <w:rFonts w:ascii="Times New Roman" w:hAnsi="Times New Roman" w:cs="Times New Roman"/>
                      <w:b/>
                      <w:kern w:val="0"/>
                      <w:szCs w:val="21"/>
                    </w:rPr>
                  </w:pPr>
                </w:p>
              </w:tc>
              <w:tc>
                <w:tcPr>
                  <w:tcW w:w="3567" w:type="dxa"/>
                  <w:tcBorders>
                    <w:tl2br w:val="nil"/>
                    <w:tr2bl w:val="nil"/>
                  </w:tcBorders>
                  <w:vAlign w:val="center"/>
                </w:tcPr>
                <w:p>
                  <w:pPr>
                    <w:pStyle w:val="86"/>
                    <w:spacing w:line="240" w:lineRule="auto"/>
                    <w:ind w:firstLine="498"/>
                    <w:rPr>
                      <w:b/>
                      <w:color w:val="auto"/>
                      <w:spacing w:val="4"/>
                    </w:rPr>
                  </w:pPr>
                  <w:r>
                    <w:rPr>
                      <w:b/>
                      <w:color w:val="auto"/>
                      <w:spacing w:val="4"/>
                    </w:rPr>
                    <w:t>预测质量浓度/</w:t>
                  </w:r>
                </w:p>
                <w:p>
                  <w:pPr>
                    <w:pStyle w:val="86"/>
                    <w:spacing w:line="240" w:lineRule="auto"/>
                    <w:ind w:firstLine="498"/>
                    <w:rPr>
                      <w:b/>
                      <w:color w:val="auto"/>
                    </w:rPr>
                  </w:pPr>
                  <w:r>
                    <w:rPr>
                      <w:b/>
                      <w:color w:val="auto"/>
                      <w:spacing w:val="4"/>
                    </w:rPr>
                    <w:t>（</w:t>
                  </w:r>
                  <w:r>
                    <w:rPr>
                      <w:b/>
                      <w:color w:val="auto"/>
                    </w:rPr>
                    <w:t>μg</w:t>
                  </w:r>
                  <w:r>
                    <w:rPr>
                      <w:b/>
                      <w:color w:val="auto"/>
                      <w:spacing w:val="4"/>
                    </w:rPr>
                    <w:t xml:space="preserve"> /m</w:t>
                  </w:r>
                  <w:r>
                    <w:rPr>
                      <w:b/>
                      <w:color w:val="auto"/>
                      <w:spacing w:val="4"/>
                      <w:vertAlign w:val="superscript"/>
                    </w:rPr>
                    <w:t>3</w:t>
                  </w:r>
                  <w:r>
                    <w:rPr>
                      <w:b/>
                      <w:color w:val="auto"/>
                      <w:spacing w:val="4"/>
                    </w:rPr>
                    <w:t>）</w:t>
                  </w:r>
                </w:p>
              </w:tc>
              <w:tc>
                <w:tcPr>
                  <w:tcW w:w="2858" w:type="dxa"/>
                  <w:tcBorders>
                    <w:tl2br w:val="nil"/>
                    <w:tr2bl w:val="nil"/>
                  </w:tcBorders>
                  <w:vAlign w:val="center"/>
                </w:tcPr>
                <w:p>
                  <w:pPr>
                    <w:pStyle w:val="86"/>
                    <w:spacing w:line="240" w:lineRule="auto"/>
                    <w:ind w:firstLine="498"/>
                    <w:rPr>
                      <w:b/>
                      <w:color w:val="auto"/>
                      <w:spacing w:val="4"/>
                    </w:rPr>
                  </w:pPr>
                  <w:r>
                    <w:rPr>
                      <w:b/>
                      <w:color w:val="auto"/>
                      <w:spacing w:val="4"/>
                    </w:rPr>
                    <w:t>占标率</w:t>
                  </w:r>
                </w:p>
                <w:p>
                  <w:pPr>
                    <w:pStyle w:val="86"/>
                    <w:spacing w:line="240" w:lineRule="auto"/>
                    <w:ind w:firstLine="498"/>
                    <w:rPr>
                      <w:b/>
                      <w:color w:val="auto"/>
                    </w:rPr>
                  </w:pPr>
                  <w:r>
                    <w:rPr>
                      <w:b/>
                      <w:color w:val="auto"/>
                      <w:spacing w:val="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kern w:val="0"/>
                      <w:szCs w:val="21"/>
                    </w:rPr>
                  </w:pPr>
                  <w:r>
                    <w:rPr>
                      <w:rFonts w:ascii="Times New Roman" w:hAnsi="Times New Roman" w:cs="Times New Roman"/>
                      <w:kern w:val="48"/>
                    </w:rPr>
                    <w:t>10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0.103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0.023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10.322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2.294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200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eastAsia="宋体" w:cs="Times New Roman"/>
                      <w:kern w:val="0"/>
                      <w:szCs w:val="21"/>
                      <w:lang w:bidi="ar"/>
                    </w:rPr>
                    <w:t>18</w:t>
                  </w:r>
                  <w:r>
                    <w:rPr>
                      <w:rFonts w:ascii="Times New Roman" w:hAnsi="Times New Roman" w:eastAsia="宋体" w:cs="Times New Roman"/>
                      <w:kern w:val="0"/>
                      <w:szCs w:val="21"/>
                      <w:lang w:bidi="ar"/>
                    </w:rPr>
                    <w:t xml:space="preserve">.229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eastAsia="宋体" w:cs="Times New Roman"/>
                      <w:kern w:val="0"/>
                      <w:szCs w:val="21"/>
                      <w:lang w:bidi="ar"/>
                    </w:rPr>
                    <w:t>4</w:t>
                  </w:r>
                  <w:r>
                    <w:rPr>
                      <w:rFonts w:ascii="Times New Roman" w:hAnsi="Times New Roman" w:eastAsia="宋体" w:cs="Times New Roman"/>
                      <w:kern w:val="0"/>
                      <w:szCs w:val="21"/>
                      <w:lang w:bidi="ar"/>
                    </w:rPr>
                    <w:t xml:space="preserve">.162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kern w:val="48"/>
                    </w:rPr>
                    <w:t>300</w:t>
                  </w:r>
                </w:p>
              </w:tc>
              <w:tc>
                <w:tcPr>
                  <w:tcW w:w="3567" w:type="dxa"/>
                  <w:tcBorders>
                    <w:tl2br w:val="nil"/>
                    <w:tr2bl w:val="nil"/>
                  </w:tcBorders>
                  <w:vAlign w:val="center"/>
                </w:tcPr>
                <w:p>
                  <w:pPr>
                    <w:widowControl/>
                    <w:jc w:val="center"/>
                    <w:textAlignment w:val="center"/>
                    <w:rPr>
                      <w:rFonts w:ascii="Times New Roman" w:hAnsi="Times New Roman" w:cs="Times New Roman"/>
                      <w:b/>
                      <w:sz w:val="18"/>
                      <w:szCs w:val="18"/>
                    </w:rPr>
                  </w:pPr>
                  <w:r>
                    <w:rPr>
                      <w:rFonts w:ascii="Times New Roman" w:hAnsi="Times New Roman" w:eastAsia="宋体" w:cs="Times New Roman"/>
                      <w:kern w:val="0"/>
                      <w:szCs w:val="21"/>
                      <w:lang w:bidi="ar"/>
                    </w:rPr>
                    <w:t xml:space="preserve">12.548 </w:t>
                  </w:r>
                </w:p>
              </w:tc>
              <w:tc>
                <w:tcPr>
                  <w:tcW w:w="2858" w:type="dxa"/>
                  <w:tcBorders>
                    <w:tl2br w:val="nil"/>
                    <w:tr2bl w:val="nil"/>
                  </w:tcBorders>
                  <w:vAlign w:val="center"/>
                </w:tcPr>
                <w:p>
                  <w:pPr>
                    <w:widowControl/>
                    <w:jc w:val="center"/>
                    <w:textAlignment w:val="center"/>
                    <w:rPr>
                      <w:rFonts w:ascii="Times New Roman" w:hAnsi="Times New Roman" w:cs="Times New Roman"/>
                      <w:b/>
                      <w:sz w:val="18"/>
                      <w:szCs w:val="18"/>
                    </w:rPr>
                  </w:pPr>
                  <w:r>
                    <w:rPr>
                      <w:rFonts w:ascii="Times New Roman" w:hAnsi="Times New Roman" w:eastAsia="宋体" w:cs="Times New Roman"/>
                      <w:kern w:val="0"/>
                      <w:szCs w:val="21"/>
                      <w:lang w:bidi="ar"/>
                    </w:rPr>
                    <w:t xml:space="preserve">2.788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400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11.681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2.596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500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10.461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2.325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600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9.203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2.045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700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8.417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1.870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800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7.887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1.753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900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7.338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1.631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1000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6.812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1.514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1100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6.322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1.405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1200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5.875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1.306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1300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5.470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1.216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1400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5.105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1.134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1500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4.774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1.061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1600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4.526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1.006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1700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4.389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0.975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1800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4.251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0.945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1900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4.113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0.914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2000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3.977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0.884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2100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3.844 </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ascii="Times New Roman" w:hAnsi="Times New Roman" w:eastAsia="宋体" w:cs="Times New Roman"/>
                      <w:kern w:val="0"/>
                      <w:szCs w:val="21"/>
                      <w:lang w:bidi="ar"/>
                    </w:rPr>
                    <w:t xml:space="preserve">0.854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kern w:val="48"/>
                    </w:rPr>
                  </w:pPr>
                  <w:r>
                    <w:rPr>
                      <w:rFonts w:ascii="Times New Roman" w:hAnsi="Times New Roman" w:cs="Times New Roman"/>
                      <w:kern w:val="48"/>
                    </w:rPr>
                    <w:t>2200</w:t>
                  </w:r>
                </w:p>
              </w:tc>
              <w:tc>
                <w:tcPr>
                  <w:tcW w:w="3567"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 xml:space="preserve">3.716 </w:t>
                  </w:r>
                </w:p>
              </w:tc>
              <w:tc>
                <w:tcPr>
                  <w:tcW w:w="2858"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 xml:space="preserve">0.826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kern w:val="48"/>
                    </w:rPr>
                  </w:pPr>
                  <w:r>
                    <w:rPr>
                      <w:rFonts w:ascii="Times New Roman" w:hAnsi="Times New Roman" w:cs="Times New Roman"/>
                      <w:kern w:val="48"/>
                    </w:rPr>
                    <w:t>2300</w:t>
                  </w:r>
                </w:p>
              </w:tc>
              <w:tc>
                <w:tcPr>
                  <w:tcW w:w="3567"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 xml:space="preserve">3.592 </w:t>
                  </w:r>
                </w:p>
              </w:tc>
              <w:tc>
                <w:tcPr>
                  <w:tcW w:w="2858"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 xml:space="preserve">0.798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kern w:val="48"/>
                    </w:rPr>
                  </w:pPr>
                  <w:r>
                    <w:rPr>
                      <w:rFonts w:ascii="Times New Roman" w:hAnsi="Times New Roman" w:cs="Times New Roman"/>
                      <w:kern w:val="48"/>
                    </w:rPr>
                    <w:t>2400</w:t>
                  </w:r>
                </w:p>
              </w:tc>
              <w:tc>
                <w:tcPr>
                  <w:tcW w:w="3567"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 xml:space="preserve">3.473 </w:t>
                  </w:r>
                </w:p>
              </w:tc>
              <w:tc>
                <w:tcPr>
                  <w:tcW w:w="2858"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 xml:space="preserve">0.772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kern w:val="48"/>
                    </w:rPr>
                  </w:pPr>
                  <w:r>
                    <w:rPr>
                      <w:rFonts w:ascii="Times New Roman" w:hAnsi="Times New Roman" w:cs="Times New Roman"/>
                      <w:kern w:val="48"/>
                    </w:rPr>
                    <w:t>2500</w:t>
                  </w:r>
                </w:p>
              </w:tc>
              <w:tc>
                <w:tcPr>
                  <w:tcW w:w="3567"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 xml:space="preserve">3.394 </w:t>
                  </w:r>
                </w:p>
              </w:tc>
              <w:tc>
                <w:tcPr>
                  <w:tcW w:w="2858" w:type="dxa"/>
                  <w:tcBorders>
                    <w:tl2br w:val="nil"/>
                    <w:tr2bl w:val="nil"/>
                  </w:tcBorders>
                  <w:vAlign w:val="center"/>
                </w:tcPr>
                <w:p>
                  <w:pPr>
                    <w:widowControl/>
                    <w:jc w:val="center"/>
                    <w:textAlignment w:val="center"/>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 xml:space="preserve">0.754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kern w:val="48"/>
                    </w:rPr>
                    <w:t>3000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eastAsia="宋体" w:cs="Times New Roman"/>
                      <w:kern w:val="0"/>
                      <w:szCs w:val="21"/>
                      <w:lang w:bidi="ar"/>
                    </w:rPr>
                    <w:t>3.364</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eastAsia="宋体" w:cs="Times New Roman"/>
                      <w:kern w:val="0"/>
                      <w:szCs w:val="21"/>
                      <w:lang w:bidi="ar"/>
                    </w:rPr>
                    <w:t>0.732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4000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3.312</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0.695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5000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3.125</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0.624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10000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1.254</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0.321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20000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0.521</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0.152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25000</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0.214</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0.052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48"/>
                    </w:rPr>
                    <w:t>最大浓度</w:t>
                  </w:r>
                </w:p>
              </w:tc>
              <w:tc>
                <w:tcPr>
                  <w:tcW w:w="3567"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28</w:t>
                  </w:r>
                  <w:r>
                    <w:rPr>
                      <w:rFonts w:ascii="Times New Roman" w:hAnsi="Times New Roman" w:cs="Times New Roman"/>
                      <w:sz w:val="18"/>
                      <w:szCs w:val="18"/>
                    </w:rPr>
                    <w:t>.3</w:t>
                  </w:r>
                  <w:r>
                    <w:rPr>
                      <w:rFonts w:hint="eastAsia" w:ascii="Times New Roman" w:hAnsi="Times New Roman" w:cs="Times New Roman"/>
                      <w:sz w:val="18"/>
                      <w:szCs w:val="18"/>
                    </w:rPr>
                    <w:t>3</w:t>
                  </w:r>
                </w:p>
              </w:tc>
              <w:tc>
                <w:tcPr>
                  <w:tcW w:w="2858" w:type="dxa"/>
                  <w:tcBorders>
                    <w:tl2br w:val="nil"/>
                    <w:tr2bl w:val="nil"/>
                  </w:tcBorders>
                  <w:vAlign w:val="center"/>
                </w:tcPr>
                <w:p>
                  <w:pPr>
                    <w:widowControl/>
                    <w:jc w:val="center"/>
                    <w:textAlignment w:val="center"/>
                    <w:rPr>
                      <w:rFonts w:ascii="Times New Roman" w:hAnsi="Times New Roman" w:cs="Times New Roman"/>
                      <w:sz w:val="18"/>
                      <w:szCs w:val="18"/>
                    </w:rPr>
                  </w:pPr>
                  <w:r>
                    <w:rPr>
                      <w:rFonts w:hint="eastAsia" w:ascii="Times New Roman" w:hAnsi="Times New Roman" w:cs="Times New Roman"/>
                      <w:sz w:val="18"/>
                      <w:szCs w:val="18"/>
                    </w:rPr>
                    <w:t>6</w:t>
                  </w:r>
                  <w:r>
                    <w:rPr>
                      <w:rFonts w:ascii="Times New Roman" w:hAnsi="Times New Roman" w:cs="Times New Roman"/>
                      <w:sz w:val="18"/>
                      <w:szCs w:val="18"/>
                    </w:rPr>
                    <w:t>.18</w:t>
                  </w:r>
                  <w:r>
                    <w:rPr>
                      <w:rFonts w:hint="eastAsia" w:ascii="Times New Roman" w:hAnsi="Times New Roman" w:cs="Times New Roman"/>
                      <w:sz w:val="18"/>
                      <w:szCs w:val="18"/>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0" w:hRule="atLeast"/>
                <w:jc w:val="center"/>
              </w:trPr>
              <w:tc>
                <w:tcPr>
                  <w:tcW w:w="2644"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szCs w:val="21"/>
                    </w:rPr>
                    <w:t>最大浓度距离</w:t>
                  </w:r>
                </w:p>
              </w:tc>
              <w:tc>
                <w:tcPr>
                  <w:tcW w:w="6425" w:type="dxa"/>
                  <w:gridSpan w:val="2"/>
                  <w:tcBorders>
                    <w:tl2br w:val="nil"/>
                    <w:tr2bl w:val="nil"/>
                  </w:tcBorders>
                  <w:vAlign w:val="center"/>
                </w:tcPr>
                <w:p>
                  <w:pPr>
                    <w:jc w:val="center"/>
                    <w:rPr>
                      <w:rFonts w:ascii="Times New Roman" w:hAnsi="Times New Roman" w:eastAsia="宋体" w:cs="Times New Roman"/>
                      <w:szCs w:val="21"/>
                    </w:rPr>
                  </w:pPr>
                  <w:r>
                    <w:rPr>
                      <w:rFonts w:ascii="Times New Roman" w:hAnsi="Times New Roman" w:cs="Times New Roman"/>
                      <w:szCs w:val="21"/>
                    </w:rPr>
                    <w:t>186m</w:t>
                  </w:r>
                </w:p>
              </w:tc>
            </w:tr>
          </w:tbl>
          <w:p>
            <w:pPr>
              <w:spacing w:line="500" w:lineRule="exact"/>
              <w:jc w:val="center"/>
              <w:rPr>
                <w:rFonts w:ascii="Times New Roman" w:hAnsi="Times New Roman" w:eastAsia="宋体" w:cs="Times New Roman"/>
                <w:b/>
                <w:szCs w:val="21"/>
              </w:rPr>
            </w:pPr>
            <w:r>
              <w:rPr>
                <w:rFonts w:ascii="Times New Roman" w:hAnsi="Times New Roman" w:eastAsia="宋体" w:cs="Times New Roman"/>
                <w:b/>
                <w:szCs w:val="21"/>
              </w:rPr>
              <w:t>表</w:t>
            </w:r>
            <w:r>
              <w:rPr>
                <w:rFonts w:hint="eastAsia" w:ascii="Times New Roman" w:hAnsi="Times New Roman" w:eastAsia="宋体" w:cs="Times New Roman"/>
                <w:b/>
                <w:szCs w:val="21"/>
              </w:rPr>
              <w:t>7-10</w:t>
            </w:r>
            <w:r>
              <w:rPr>
                <w:rFonts w:ascii="Times New Roman" w:hAnsi="Times New Roman" w:eastAsia="宋体" w:cs="Times New Roman"/>
                <w:b/>
                <w:szCs w:val="21"/>
              </w:rPr>
              <w:t>大气污染物估算模式计算结果（无组织）</w:t>
            </w:r>
          </w:p>
          <w:tbl>
            <w:tblPr>
              <w:tblStyle w:val="40"/>
              <w:tblW w:w="499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367"/>
              <w:gridCol w:w="3848"/>
              <w:gridCol w:w="18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3" w:hRule="atLeast"/>
              </w:trPr>
              <w:tc>
                <w:tcPr>
                  <w:tcW w:w="1859" w:type="pct"/>
                  <w:vMerge w:val="restart"/>
                  <w:tcBorders>
                    <w:tl2br w:val="nil"/>
                    <w:tr2bl w:val="nil"/>
                  </w:tcBorders>
                  <w:vAlign w:val="center"/>
                </w:tcPr>
                <w:p>
                  <w:pPr>
                    <w:pStyle w:val="246"/>
                    <w:spacing w:before="8"/>
                    <w:jc w:val="center"/>
                    <w:rPr>
                      <w:rFonts w:ascii="Times New Roman" w:hAnsi="Times New Roman" w:cs="Times New Roman"/>
                      <w:b/>
                      <w:sz w:val="26"/>
                    </w:rPr>
                  </w:pPr>
                </w:p>
                <w:p>
                  <w:pPr>
                    <w:pStyle w:val="246"/>
                    <w:spacing w:line="278" w:lineRule="auto"/>
                    <w:ind w:left="148" w:right="96" w:firstLine="4"/>
                    <w:jc w:val="center"/>
                    <w:rPr>
                      <w:rFonts w:ascii="Times New Roman" w:hAnsi="Times New Roman" w:eastAsia="Times New Roman" w:cs="Times New Roman"/>
                    </w:rPr>
                  </w:pPr>
                  <w:r>
                    <w:rPr>
                      <w:rFonts w:ascii="Times New Roman" w:hAnsi="Times New Roman" w:cs="Times New Roman"/>
                    </w:rPr>
                    <w:t>下风向距离</w:t>
                  </w:r>
                  <w:r>
                    <w:rPr>
                      <w:rFonts w:ascii="Times New Roman" w:hAnsi="Times New Roman" w:eastAsia="Times New Roman" w:cs="Times New Roman"/>
                    </w:rPr>
                    <w:t>/m</w:t>
                  </w:r>
                </w:p>
              </w:tc>
              <w:tc>
                <w:tcPr>
                  <w:tcW w:w="3140" w:type="pct"/>
                  <w:gridSpan w:val="2"/>
                  <w:tcBorders>
                    <w:tl2br w:val="nil"/>
                    <w:tr2bl w:val="nil"/>
                  </w:tcBorders>
                  <w:vAlign w:val="center"/>
                </w:tcPr>
                <w:p>
                  <w:pPr>
                    <w:pStyle w:val="246"/>
                    <w:spacing w:before="24" w:line="259" w:lineRule="exact"/>
                    <w:ind w:left="406"/>
                    <w:jc w:val="center"/>
                    <w:rPr>
                      <w:rFonts w:ascii="Times New Roman" w:hAnsi="Times New Roman" w:cs="Times New Roman"/>
                      <w:lang w:val="en-US"/>
                    </w:rPr>
                  </w:pPr>
                  <w:r>
                    <w:rPr>
                      <w:rFonts w:hint="eastAsia" w:ascii="Times New Roman" w:hAnsi="Times New Roman" w:cs="Times New Roman"/>
                      <w:lang w:val="en-US"/>
                    </w:rPr>
                    <w:t>生产车间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90" w:hRule="atLeast"/>
              </w:trPr>
              <w:tc>
                <w:tcPr>
                  <w:tcW w:w="1859" w:type="pct"/>
                  <w:vMerge w:val="continue"/>
                  <w:tcBorders>
                    <w:tl2br w:val="nil"/>
                    <w:tr2bl w:val="nil"/>
                  </w:tcBorders>
                  <w:vAlign w:val="center"/>
                </w:tcPr>
                <w:p>
                  <w:pPr>
                    <w:jc w:val="center"/>
                    <w:rPr>
                      <w:rFonts w:ascii="Times New Roman" w:hAnsi="Times New Roman" w:cs="Times New Roman"/>
                      <w:sz w:val="2"/>
                      <w:szCs w:val="2"/>
                    </w:rPr>
                  </w:pPr>
                </w:p>
              </w:tc>
              <w:tc>
                <w:tcPr>
                  <w:tcW w:w="2125" w:type="pct"/>
                  <w:tcBorders>
                    <w:tl2br w:val="nil"/>
                    <w:tr2bl w:val="nil"/>
                  </w:tcBorders>
                  <w:vAlign w:val="center"/>
                </w:tcPr>
                <w:p>
                  <w:pPr>
                    <w:pStyle w:val="246"/>
                    <w:spacing w:before="12" w:line="278" w:lineRule="auto"/>
                    <w:ind w:left="156" w:right="121"/>
                    <w:jc w:val="center"/>
                    <w:rPr>
                      <w:rFonts w:ascii="Times New Roman" w:hAnsi="Times New Roman" w:cs="Times New Roman"/>
                    </w:rPr>
                  </w:pPr>
                  <w:r>
                    <w:rPr>
                      <w:rFonts w:ascii="Times New Roman" w:hAnsi="Times New Roman" w:cs="Times New Roman"/>
                    </w:rPr>
                    <w:t>预测质量浓度（</w:t>
                  </w:r>
                  <w:r>
                    <w:rPr>
                      <w:rFonts w:ascii="Times New Roman" w:hAnsi="Times New Roman" w:eastAsia="Times New Roman" w:cs="Times New Roman"/>
                    </w:rPr>
                    <w:t>ug/m</w:t>
                  </w:r>
                  <w:r>
                    <w:rPr>
                      <w:rFonts w:ascii="Times New Roman" w:hAnsi="Times New Roman" w:eastAsia="Times New Roman" w:cs="Times New Roman"/>
                      <w:position w:val="7"/>
                      <w:sz w:val="14"/>
                    </w:rPr>
                    <w:t>3</w:t>
                  </w:r>
                  <w:r>
                    <w:rPr>
                      <w:rFonts w:ascii="Times New Roman" w:hAnsi="Times New Roman" w:cs="Times New Roman"/>
                    </w:rPr>
                    <w:t>）</w:t>
                  </w:r>
                </w:p>
              </w:tc>
              <w:tc>
                <w:tcPr>
                  <w:tcW w:w="1014" w:type="pct"/>
                  <w:tcBorders>
                    <w:tl2br w:val="nil"/>
                    <w:tr2bl w:val="nil"/>
                  </w:tcBorders>
                  <w:vAlign w:val="center"/>
                </w:tcPr>
                <w:p>
                  <w:pPr>
                    <w:pStyle w:val="246"/>
                    <w:spacing w:before="168" w:line="278" w:lineRule="auto"/>
                    <w:ind w:left="171" w:right="122" w:hanging="17"/>
                    <w:jc w:val="center"/>
                    <w:rPr>
                      <w:rFonts w:ascii="Times New Roman" w:hAnsi="Times New Roman" w:eastAsia="Times New Roman" w:cs="Times New Roman"/>
                    </w:rPr>
                  </w:pPr>
                  <w:r>
                    <w:rPr>
                      <w:rFonts w:ascii="Times New Roman" w:hAnsi="Times New Roman" w:cs="Times New Roman"/>
                    </w:rPr>
                    <w:t>占标率</w:t>
                  </w:r>
                  <w:r>
                    <w:rPr>
                      <w:rFonts w:ascii="Times New Roman" w:hAnsi="Times New Roman" w:eastAsia="Times New Roman" w:cs="Times New Roma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1" w:hRule="atLeast"/>
              </w:trPr>
              <w:tc>
                <w:tcPr>
                  <w:tcW w:w="1859" w:type="pct"/>
                  <w:tcBorders>
                    <w:tl2br w:val="nil"/>
                    <w:tr2bl w:val="nil"/>
                  </w:tcBorders>
                  <w:vAlign w:val="center"/>
                </w:tcPr>
                <w:p>
                  <w:pPr>
                    <w:pStyle w:val="246"/>
                    <w:spacing w:before="36"/>
                    <w:ind w:left="288" w:right="242"/>
                    <w:jc w:val="center"/>
                    <w:rPr>
                      <w:rFonts w:ascii="Times New Roman" w:hAnsi="Times New Roman" w:cs="Times New Roman"/>
                    </w:rPr>
                  </w:pPr>
                  <w:r>
                    <w:rPr>
                      <w:rFonts w:ascii="Times New Roman" w:hAnsi="Times New Roman" w:cs="Times New Roman"/>
                    </w:rPr>
                    <w:t>50</w:t>
                  </w:r>
                </w:p>
              </w:tc>
              <w:tc>
                <w:tcPr>
                  <w:tcW w:w="2125" w:type="pct"/>
                  <w:tcBorders>
                    <w:tl2br w:val="nil"/>
                    <w:tr2bl w:val="nil"/>
                  </w:tcBorders>
                  <w:vAlign w:val="center"/>
                </w:tcPr>
                <w:p>
                  <w:pPr>
                    <w:pStyle w:val="246"/>
                    <w:spacing w:before="36"/>
                    <w:ind w:left="154" w:right="121"/>
                    <w:jc w:val="center"/>
                    <w:rPr>
                      <w:rFonts w:ascii="Times New Roman" w:hAnsi="Times New Roman" w:cs="Times New Roman"/>
                    </w:rPr>
                  </w:pPr>
                  <w:r>
                    <w:rPr>
                      <w:rFonts w:ascii="Times New Roman" w:hAnsi="Times New Roman" w:cs="Times New Roman"/>
                    </w:rPr>
                    <w:t>19.2190</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2.14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4" w:hRule="atLeast"/>
              </w:trPr>
              <w:tc>
                <w:tcPr>
                  <w:tcW w:w="1859" w:type="pct"/>
                  <w:tcBorders>
                    <w:tl2br w:val="nil"/>
                    <w:tr2bl w:val="nil"/>
                  </w:tcBorders>
                  <w:vAlign w:val="center"/>
                </w:tcPr>
                <w:p>
                  <w:pPr>
                    <w:pStyle w:val="246"/>
                    <w:spacing w:before="39"/>
                    <w:ind w:left="288" w:right="242"/>
                    <w:jc w:val="center"/>
                    <w:rPr>
                      <w:rFonts w:ascii="Times New Roman" w:hAnsi="Times New Roman" w:cs="Times New Roman"/>
                      <w:lang w:val="en-US"/>
                    </w:rPr>
                  </w:pPr>
                  <w:r>
                    <w:rPr>
                      <w:rFonts w:hint="eastAsia" w:ascii="Times New Roman" w:hAnsi="Times New Roman" w:cs="Times New Roman"/>
                      <w:lang w:val="en-US"/>
                    </w:rPr>
                    <w:t>100</w:t>
                  </w:r>
                </w:p>
              </w:tc>
              <w:tc>
                <w:tcPr>
                  <w:tcW w:w="2125" w:type="pct"/>
                  <w:tcBorders>
                    <w:tl2br w:val="nil"/>
                    <w:tr2bl w:val="nil"/>
                  </w:tcBorders>
                  <w:vAlign w:val="center"/>
                </w:tcPr>
                <w:p>
                  <w:pPr>
                    <w:pStyle w:val="246"/>
                    <w:spacing w:before="39"/>
                    <w:ind w:left="154" w:right="121"/>
                    <w:jc w:val="center"/>
                    <w:rPr>
                      <w:rFonts w:ascii="Times New Roman" w:hAnsi="Times New Roman" w:cs="Times New Roman"/>
                    </w:rPr>
                  </w:pPr>
                  <w:r>
                    <w:rPr>
                      <w:rFonts w:ascii="Times New Roman" w:hAnsi="Times New Roman" w:cs="Times New Roman"/>
                    </w:rPr>
                    <w:t>12.8710</w:t>
                  </w:r>
                </w:p>
              </w:tc>
              <w:tc>
                <w:tcPr>
                  <w:tcW w:w="1014" w:type="pct"/>
                  <w:tcBorders>
                    <w:tl2br w:val="nil"/>
                    <w:tr2bl w:val="nil"/>
                  </w:tcBorders>
                  <w:vAlign w:val="center"/>
                </w:tcPr>
                <w:p>
                  <w:pPr>
                    <w:pStyle w:val="246"/>
                    <w:spacing w:before="39"/>
                    <w:ind w:right="148"/>
                    <w:jc w:val="center"/>
                    <w:rPr>
                      <w:rFonts w:ascii="Times New Roman" w:hAnsi="Times New Roman" w:cs="Times New Roman"/>
                    </w:rPr>
                  </w:pPr>
                  <w:r>
                    <w:rPr>
                      <w:rFonts w:ascii="Times New Roman" w:hAnsi="Times New Roman" w:cs="Times New Roman"/>
                    </w:rPr>
                    <w:t>1.43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rPr>
                  </w:pPr>
                  <w:r>
                    <w:rPr>
                      <w:rFonts w:hint="eastAsia" w:ascii="Times New Roman" w:hAnsi="Times New Roman" w:cs="Times New Roman"/>
                      <w:lang w:val="en-US"/>
                    </w:rPr>
                    <w:t>2</w:t>
                  </w:r>
                  <w:r>
                    <w:rPr>
                      <w:rFonts w:ascii="Times New Roman" w:hAnsi="Times New Roman" w:cs="Times New Roman"/>
                    </w:rPr>
                    <w:t>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9.6849</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300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8.9513</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400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8.4130</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500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7.9971</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1000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7.6638</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2000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7.3812</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3" w:hRule="atLeast"/>
              </w:trPr>
              <w:tc>
                <w:tcPr>
                  <w:tcW w:w="1859" w:type="pct"/>
                  <w:tcBorders>
                    <w:tl2br w:val="nil"/>
                    <w:tr2bl w:val="nil"/>
                  </w:tcBorders>
                  <w:vAlign w:val="center"/>
                </w:tcPr>
                <w:p>
                  <w:pPr>
                    <w:pStyle w:val="246"/>
                    <w:spacing w:before="39"/>
                    <w:ind w:left="292" w:right="242"/>
                    <w:jc w:val="center"/>
                    <w:rPr>
                      <w:rFonts w:ascii="Times New Roman" w:hAnsi="Times New Roman" w:cs="Times New Roman"/>
                      <w:lang w:val="en-US"/>
                    </w:rPr>
                  </w:pPr>
                  <w:r>
                    <w:rPr>
                      <w:rFonts w:hint="eastAsia" w:ascii="Times New Roman" w:hAnsi="Times New Roman" w:cs="Times New Roman"/>
                      <w:lang w:val="en-US"/>
                    </w:rPr>
                    <w:t>3000</w:t>
                  </w:r>
                </w:p>
              </w:tc>
              <w:tc>
                <w:tcPr>
                  <w:tcW w:w="2125" w:type="pct"/>
                  <w:tcBorders>
                    <w:tl2br w:val="nil"/>
                    <w:tr2bl w:val="nil"/>
                  </w:tcBorders>
                  <w:vAlign w:val="center"/>
                </w:tcPr>
                <w:p>
                  <w:pPr>
                    <w:pStyle w:val="246"/>
                    <w:spacing w:before="39"/>
                    <w:ind w:left="151" w:right="121"/>
                    <w:jc w:val="center"/>
                    <w:rPr>
                      <w:rFonts w:ascii="Times New Roman" w:hAnsi="Times New Roman" w:cs="Times New Roman"/>
                    </w:rPr>
                  </w:pPr>
                  <w:r>
                    <w:rPr>
                      <w:rFonts w:ascii="Times New Roman" w:hAnsi="Times New Roman" w:cs="Times New Roman"/>
                    </w:rPr>
                    <w:t>7.1407</w:t>
                  </w:r>
                </w:p>
              </w:tc>
              <w:tc>
                <w:tcPr>
                  <w:tcW w:w="1014" w:type="pct"/>
                  <w:tcBorders>
                    <w:tl2br w:val="nil"/>
                    <w:tr2bl w:val="nil"/>
                  </w:tcBorders>
                  <w:vAlign w:val="center"/>
                </w:tcPr>
                <w:p>
                  <w:pPr>
                    <w:pStyle w:val="246"/>
                    <w:spacing w:before="39"/>
                    <w:ind w:right="148"/>
                    <w:jc w:val="center"/>
                    <w:rPr>
                      <w:rFonts w:ascii="Times New Roman" w:hAnsi="Times New Roman" w:cs="Times New Roman"/>
                    </w:rPr>
                  </w:pPr>
                  <w:r>
                    <w:rPr>
                      <w:rFonts w:ascii="Times New Roman" w:hAnsi="Times New Roman" w:cs="Times New Roman"/>
                    </w:rPr>
                    <w:t>0.79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4000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6.9287</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5000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6.7390</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6000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6.5634</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7000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6.4034</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8000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6.2554</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3" w:hRule="atLeast"/>
              </w:trPr>
              <w:tc>
                <w:tcPr>
                  <w:tcW w:w="1859" w:type="pct"/>
                  <w:tcBorders>
                    <w:tl2br w:val="nil"/>
                    <w:tr2bl w:val="nil"/>
                  </w:tcBorders>
                  <w:vAlign w:val="center"/>
                </w:tcPr>
                <w:p>
                  <w:pPr>
                    <w:pStyle w:val="246"/>
                    <w:spacing w:before="39"/>
                    <w:ind w:left="292" w:right="242"/>
                    <w:jc w:val="center"/>
                    <w:rPr>
                      <w:rFonts w:ascii="Times New Roman" w:hAnsi="Times New Roman" w:cs="Times New Roman"/>
                      <w:lang w:val="en-US"/>
                    </w:rPr>
                  </w:pPr>
                  <w:r>
                    <w:rPr>
                      <w:rFonts w:hint="eastAsia" w:ascii="Times New Roman" w:hAnsi="Times New Roman" w:cs="Times New Roman"/>
                      <w:lang w:val="en-US"/>
                    </w:rPr>
                    <w:t>9000</w:t>
                  </w:r>
                </w:p>
              </w:tc>
              <w:tc>
                <w:tcPr>
                  <w:tcW w:w="2125" w:type="pct"/>
                  <w:tcBorders>
                    <w:tl2br w:val="nil"/>
                    <w:tr2bl w:val="nil"/>
                  </w:tcBorders>
                  <w:vAlign w:val="center"/>
                </w:tcPr>
                <w:p>
                  <w:pPr>
                    <w:pStyle w:val="246"/>
                    <w:spacing w:before="39"/>
                    <w:ind w:left="151" w:right="121"/>
                    <w:jc w:val="center"/>
                    <w:rPr>
                      <w:rFonts w:ascii="Times New Roman" w:hAnsi="Times New Roman" w:cs="Times New Roman"/>
                    </w:rPr>
                  </w:pPr>
                  <w:r>
                    <w:rPr>
                      <w:rFonts w:ascii="Times New Roman" w:hAnsi="Times New Roman" w:cs="Times New Roman"/>
                    </w:rPr>
                    <w:t>6.1170</w:t>
                  </w:r>
                </w:p>
              </w:tc>
              <w:tc>
                <w:tcPr>
                  <w:tcW w:w="1014" w:type="pct"/>
                  <w:tcBorders>
                    <w:tl2br w:val="nil"/>
                    <w:tr2bl w:val="nil"/>
                  </w:tcBorders>
                  <w:vAlign w:val="center"/>
                </w:tcPr>
                <w:p>
                  <w:pPr>
                    <w:pStyle w:val="246"/>
                    <w:spacing w:before="39"/>
                    <w:ind w:right="148"/>
                    <w:jc w:val="center"/>
                    <w:rPr>
                      <w:rFonts w:ascii="Times New Roman" w:hAnsi="Times New Roman" w:cs="Times New Roman"/>
                    </w:rPr>
                  </w:pPr>
                  <w:r>
                    <w:rPr>
                      <w:rFonts w:ascii="Times New Roman" w:hAnsi="Times New Roman" w:cs="Times New Roman"/>
                    </w:rPr>
                    <w:t>0.68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10000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5.9876</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15000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5.8655</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20000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5.7496</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1"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2</w:t>
                  </w:r>
                  <w:r>
                    <w:rPr>
                      <w:rFonts w:ascii="Times New Roman" w:hAnsi="Times New Roman" w:cs="Times New Roman"/>
                    </w:rPr>
                    <w:t>500</w:t>
                  </w:r>
                  <w:r>
                    <w:rPr>
                      <w:rFonts w:hint="eastAsia" w:ascii="Times New Roman" w:hAnsi="Times New Roman" w:cs="Times New Roman"/>
                      <w:lang w:val="en-US"/>
                    </w:rPr>
                    <w:t>0</w:t>
                  </w:r>
                </w:p>
              </w:tc>
              <w:tc>
                <w:tcPr>
                  <w:tcW w:w="2125" w:type="pct"/>
                  <w:tcBorders>
                    <w:tl2br w:val="nil"/>
                    <w:tr2bl w:val="nil"/>
                  </w:tcBorders>
                  <w:vAlign w:val="center"/>
                </w:tcPr>
                <w:p>
                  <w:pPr>
                    <w:pStyle w:val="246"/>
                    <w:spacing w:before="36"/>
                    <w:ind w:left="151" w:right="121"/>
                    <w:jc w:val="center"/>
                    <w:rPr>
                      <w:rFonts w:ascii="Times New Roman" w:hAnsi="Times New Roman" w:cs="Times New Roman"/>
                    </w:rPr>
                  </w:pPr>
                  <w:r>
                    <w:rPr>
                      <w:rFonts w:ascii="Times New Roman" w:hAnsi="Times New Roman" w:cs="Times New Roman"/>
                    </w:rPr>
                    <w:t>5.6371</w:t>
                  </w:r>
                </w:p>
              </w:tc>
              <w:tc>
                <w:tcPr>
                  <w:tcW w:w="1014" w:type="pct"/>
                  <w:tcBorders>
                    <w:tl2br w:val="nil"/>
                    <w:tr2bl w:val="nil"/>
                  </w:tcBorders>
                  <w:vAlign w:val="center"/>
                </w:tcPr>
                <w:p>
                  <w:pPr>
                    <w:pStyle w:val="246"/>
                    <w:spacing w:before="36"/>
                    <w:ind w:right="148"/>
                    <w:jc w:val="center"/>
                    <w:rPr>
                      <w:rFonts w:ascii="Times New Roman" w:hAnsi="Times New Roman" w:cs="Times New Roman"/>
                    </w:rPr>
                  </w:pPr>
                  <w:r>
                    <w:rPr>
                      <w:rFonts w:ascii="Times New Roman" w:hAnsi="Times New Roman" w:cs="Times New Roman"/>
                    </w:rPr>
                    <w:t>0.63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9" w:hRule="atLeast"/>
              </w:trPr>
              <w:tc>
                <w:tcPr>
                  <w:tcW w:w="1859" w:type="pct"/>
                  <w:tcBorders>
                    <w:tl2br w:val="nil"/>
                    <w:tr2bl w:val="nil"/>
                  </w:tcBorders>
                  <w:vAlign w:val="center"/>
                </w:tcPr>
                <w:p>
                  <w:pPr>
                    <w:pStyle w:val="246"/>
                    <w:spacing w:before="22" w:line="278" w:lineRule="auto"/>
                    <w:ind w:left="153" w:right="100"/>
                    <w:jc w:val="center"/>
                    <w:rPr>
                      <w:rFonts w:ascii="Times New Roman" w:hAnsi="Times New Roman" w:eastAsia="Times New Roman" w:cs="Times New Roman"/>
                    </w:rPr>
                  </w:pPr>
                  <w:r>
                    <w:rPr>
                      <w:rFonts w:ascii="Times New Roman" w:hAnsi="Times New Roman" w:cs="Times New Roman"/>
                      <w:spacing w:val="-6"/>
                    </w:rPr>
                    <w:t>下风向最大质量浓度及占标</w:t>
                  </w:r>
                  <w:r>
                    <w:rPr>
                      <w:rFonts w:ascii="Times New Roman" w:hAnsi="Times New Roman" w:cs="Times New Roman"/>
                      <w:spacing w:val="-2"/>
                    </w:rPr>
                    <w:t>率</w:t>
                  </w:r>
                  <w:r>
                    <w:rPr>
                      <w:rFonts w:ascii="Times New Roman" w:hAnsi="Times New Roman" w:eastAsia="Times New Roman" w:cs="Times New Roman"/>
                      <w:spacing w:val="-1"/>
                    </w:rPr>
                    <w:t>/%</w:t>
                  </w:r>
                </w:p>
              </w:tc>
              <w:tc>
                <w:tcPr>
                  <w:tcW w:w="2125" w:type="pct"/>
                  <w:tcBorders>
                    <w:tl2br w:val="nil"/>
                    <w:tr2bl w:val="nil"/>
                  </w:tcBorders>
                  <w:vAlign w:val="center"/>
                </w:tcPr>
                <w:p>
                  <w:pPr>
                    <w:pStyle w:val="246"/>
                    <w:ind w:left="154" w:right="121"/>
                    <w:jc w:val="center"/>
                    <w:rPr>
                      <w:rFonts w:ascii="Times New Roman" w:hAnsi="Times New Roman" w:cs="Times New Roman"/>
                    </w:rPr>
                  </w:pPr>
                  <w:r>
                    <w:rPr>
                      <w:rFonts w:ascii="Times New Roman" w:hAnsi="Times New Roman" w:cs="Times New Roman"/>
                    </w:rPr>
                    <w:t>19.5190</w:t>
                  </w:r>
                </w:p>
              </w:tc>
              <w:tc>
                <w:tcPr>
                  <w:tcW w:w="1014" w:type="pct"/>
                  <w:tcBorders>
                    <w:tl2br w:val="nil"/>
                    <w:tr2bl w:val="nil"/>
                  </w:tcBorders>
                  <w:vAlign w:val="center"/>
                </w:tcPr>
                <w:p>
                  <w:pPr>
                    <w:pStyle w:val="246"/>
                    <w:ind w:right="148"/>
                    <w:jc w:val="center"/>
                    <w:rPr>
                      <w:rFonts w:ascii="Times New Roman" w:hAnsi="Times New Roman" w:cs="Times New Roman"/>
                    </w:rPr>
                  </w:pPr>
                  <w:r>
                    <w:rPr>
                      <w:rFonts w:ascii="Times New Roman" w:hAnsi="Times New Roman" w:cs="Times New Roman"/>
                    </w:rPr>
                    <w:t>2.17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3" w:hRule="atLeast"/>
              </w:trPr>
              <w:tc>
                <w:tcPr>
                  <w:tcW w:w="1859" w:type="pct"/>
                  <w:tcBorders>
                    <w:tl2br w:val="nil"/>
                    <w:tr2bl w:val="nil"/>
                  </w:tcBorders>
                  <w:vAlign w:val="center"/>
                </w:tcPr>
                <w:p>
                  <w:pPr>
                    <w:pStyle w:val="246"/>
                    <w:spacing w:before="39"/>
                    <w:ind w:left="199"/>
                    <w:jc w:val="center"/>
                    <w:rPr>
                      <w:rFonts w:ascii="Times New Roman" w:hAnsi="Times New Roman" w:eastAsia="Times New Roman" w:cs="Times New Roman"/>
                    </w:rPr>
                  </w:pPr>
                  <w:r>
                    <w:rPr>
                      <w:rFonts w:ascii="Times New Roman" w:hAnsi="Times New Roman" w:cs="Times New Roman"/>
                    </w:rPr>
                    <w:t>D10%最远距离</w:t>
                  </w:r>
                  <w:r>
                    <w:rPr>
                      <w:rFonts w:ascii="Times New Roman" w:hAnsi="Times New Roman" w:eastAsia="Times New Roman" w:cs="Times New Roman"/>
                    </w:rPr>
                    <w:t>/m</w:t>
                  </w:r>
                </w:p>
              </w:tc>
              <w:tc>
                <w:tcPr>
                  <w:tcW w:w="3140" w:type="pct"/>
                  <w:gridSpan w:val="2"/>
                  <w:tcBorders>
                    <w:tl2br w:val="nil"/>
                    <w:tr2bl w:val="nil"/>
                  </w:tcBorders>
                  <w:vAlign w:val="center"/>
                </w:tcPr>
                <w:p>
                  <w:pPr>
                    <w:pStyle w:val="246"/>
                    <w:jc w:val="center"/>
                    <w:rPr>
                      <w:rFonts w:ascii="Times New Roman" w:hAnsi="Times New Roman" w:cs="Times New Roman"/>
                    </w:rPr>
                  </w:pPr>
                  <w:r>
                    <w:rPr>
                      <w:rFonts w:ascii="Times New Roman" w:hAnsi="Times New Roman" w:cs="Times New Roma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7" w:hRule="atLeast"/>
              </w:trPr>
              <w:tc>
                <w:tcPr>
                  <w:tcW w:w="1859" w:type="pct"/>
                  <w:tcBorders>
                    <w:tl2br w:val="nil"/>
                    <w:tr2bl w:val="nil"/>
                  </w:tcBorders>
                  <w:vAlign w:val="center"/>
                </w:tcPr>
                <w:p>
                  <w:pPr>
                    <w:pStyle w:val="246"/>
                    <w:spacing w:before="36"/>
                    <w:ind w:left="292" w:right="242"/>
                    <w:jc w:val="center"/>
                    <w:rPr>
                      <w:rFonts w:ascii="Times New Roman" w:hAnsi="Times New Roman" w:cs="Times New Roman"/>
                    </w:rPr>
                  </w:pPr>
                  <w:r>
                    <w:rPr>
                      <w:rFonts w:hint="eastAsia" w:ascii="Times New Roman" w:hAnsi="Times New Roman" w:cs="Times New Roman"/>
                    </w:rPr>
                    <w:t>最大浓度距离</w:t>
                  </w:r>
                </w:p>
              </w:tc>
              <w:tc>
                <w:tcPr>
                  <w:tcW w:w="3140" w:type="pct"/>
                  <w:gridSpan w:val="2"/>
                  <w:tcBorders>
                    <w:tl2br w:val="nil"/>
                    <w:tr2bl w:val="nil"/>
                  </w:tcBorders>
                  <w:vAlign w:val="center"/>
                </w:tcPr>
                <w:p>
                  <w:pPr>
                    <w:pStyle w:val="246"/>
                    <w:spacing w:before="36"/>
                    <w:ind w:left="292" w:right="242"/>
                    <w:jc w:val="center"/>
                    <w:rPr>
                      <w:rFonts w:ascii="Times New Roman" w:hAnsi="Times New Roman" w:cs="Times New Roman"/>
                      <w:lang w:val="en-US"/>
                    </w:rPr>
                  </w:pPr>
                  <w:r>
                    <w:rPr>
                      <w:rFonts w:hint="eastAsia" w:ascii="Times New Roman" w:hAnsi="Times New Roman" w:cs="Times New Roman"/>
                      <w:lang w:val="en-US"/>
                    </w:rPr>
                    <w:t>48</w:t>
                  </w:r>
                </w:p>
              </w:tc>
            </w:tr>
          </w:tbl>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由上表可以看出，项目有组织排放的PM</w:t>
            </w:r>
            <w:r>
              <w:rPr>
                <w:rFonts w:ascii="Times New Roman" w:hAnsi="Times New Roman" w:cs="Times New Roman"/>
                <w:spacing w:val="6"/>
                <w:sz w:val="24"/>
                <w:vertAlign w:val="subscript"/>
              </w:rPr>
              <w:t>10</w:t>
            </w:r>
            <w:r>
              <w:rPr>
                <w:rFonts w:ascii="Times New Roman" w:hAnsi="Times New Roman" w:cs="Times New Roman"/>
                <w:spacing w:val="6"/>
                <w:sz w:val="24"/>
              </w:rPr>
              <w:t>下风向的最大地面浓度为</w:t>
            </w:r>
            <w:r>
              <w:rPr>
                <w:rFonts w:hint="eastAsia" w:ascii="Times New Roman" w:hAnsi="Times New Roman" w:cs="Times New Roman"/>
                <w:spacing w:val="6"/>
                <w:sz w:val="24"/>
              </w:rPr>
              <w:t>28.33</w:t>
            </w:r>
            <w:r>
              <w:rPr>
                <w:rFonts w:ascii="Times New Roman" w:hAnsi="Times New Roman" w:cs="Times New Roman"/>
                <w:spacing w:val="6"/>
                <w:sz w:val="24"/>
              </w:rPr>
              <w:t>μg/m</w:t>
            </w:r>
            <w:r>
              <w:rPr>
                <w:rFonts w:ascii="Times New Roman" w:hAnsi="Times New Roman" w:cs="Times New Roman"/>
                <w:spacing w:val="6"/>
                <w:sz w:val="24"/>
                <w:vertAlign w:val="superscript"/>
              </w:rPr>
              <w:t>3</w:t>
            </w:r>
            <w:r>
              <w:rPr>
                <w:rFonts w:ascii="Times New Roman" w:hAnsi="Times New Roman" w:cs="Times New Roman"/>
                <w:spacing w:val="6"/>
                <w:sz w:val="24"/>
              </w:rPr>
              <w:t>，最大地面浓度占标率均为</w:t>
            </w:r>
            <w:r>
              <w:rPr>
                <w:rFonts w:hint="eastAsia" w:ascii="Times New Roman" w:hAnsi="Times New Roman" w:cs="Times New Roman"/>
                <w:spacing w:val="6"/>
                <w:sz w:val="24"/>
              </w:rPr>
              <w:t>6.183</w:t>
            </w:r>
            <w:r>
              <w:rPr>
                <w:rFonts w:ascii="Times New Roman" w:hAnsi="Times New Roman" w:cs="Times New Roman"/>
                <w:spacing w:val="6"/>
                <w:sz w:val="24"/>
              </w:rPr>
              <w:t>%，满足GB3095-2012的二级标准限值的要求。无组织排放的TSP下风向的最大地面浓度均为</w:t>
            </w:r>
            <w:r>
              <w:rPr>
                <w:rFonts w:hint="eastAsia" w:ascii="Times New Roman" w:hAnsi="Times New Roman" w:cs="Times New Roman"/>
                <w:spacing w:val="6"/>
                <w:sz w:val="24"/>
              </w:rPr>
              <w:t>19.5190</w:t>
            </w:r>
            <w:r>
              <w:rPr>
                <w:rFonts w:ascii="Times New Roman" w:hAnsi="Times New Roman" w:cs="Times New Roman"/>
                <w:spacing w:val="6"/>
                <w:sz w:val="24"/>
              </w:rPr>
              <w:t>μg/m</w:t>
            </w:r>
            <w:r>
              <w:rPr>
                <w:rFonts w:ascii="Times New Roman" w:hAnsi="Times New Roman" w:cs="Times New Roman"/>
                <w:spacing w:val="6"/>
                <w:sz w:val="24"/>
                <w:vertAlign w:val="superscript"/>
              </w:rPr>
              <w:t>3</w:t>
            </w:r>
            <w:r>
              <w:rPr>
                <w:rFonts w:ascii="Times New Roman" w:hAnsi="Times New Roman" w:cs="Times New Roman"/>
                <w:spacing w:val="6"/>
                <w:sz w:val="24"/>
              </w:rPr>
              <w:t>，最大地面浓度占标率均为</w:t>
            </w:r>
            <w:r>
              <w:rPr>
                <w:rFonts w:hint="eastAsia" w:ascii="Times New Roman" w:hAnsi="Times New Roman" w:cs="Times New Roman"/>
                <w:spacing w:val="6"/>
                <w:sz w:val="24"/>
              </w:rPr>
              <w:t>2.17</w:t>
            </w:r>
            <w:r>
              <w:rPr>
                <w:rFonts w:ascii="Times New Roman" w:hAnsi="Times New Roman" w:cs="Times New Roman"/>
                <w:spacing w:val="6"/>
                <w:sz w:val="24"/>
              </w:rPr>
              <w:t>%，满足GB3095-2012的二级标准限值的要求。</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1.4大气环境影响评价结论与建议</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（1）大气环境影响评价结论</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本项目位于环境质量不达标区，</w:t>
            </w:r>
            <w:r>
              <w:rPr>
                <w:rFonts w:hint="eastAsia" w:ascii="Times New Roman" w:hAnsi="Times New Roman" w:cs="Times New Roman"/>
                <w:spacing w:val="6"/>
                <w:sz w:val="24"/>
              </w:rPr>
              <w:t>对</w:t>
            </w:r>
            <w:r>
              <w:rPr>
                <w:rFonts w:ascii="Times New Roman" w:hAnsi="Times New Roman" w:cs="Times New Roman"/>
                <w:spacing w:val="6"/>
                <w:sz w:val="24"/>
              </w:rPr>
              <w:t>评价范围内</w:t>
            </w:r>
            <w:r>
              <w:rPr>
                <w:rFonts w:hint="eastAsia" w:ascii="Times New Roman" w:hAnsi="Times New Roman" w:cs="Times New Roman"/>
                <w:spacing w:val="6"/>
                <w:sz w:val="24"/>
              </w:rPr>
              <w:t>环境空气质量进行补充监测，根据监测结果可知，本项目评价范围内环境空气质量TSP、PM</w:t>
            </w:r>
            <w:r>
              <w:rPr>
                <w:rFonts w:hint="eastAsia" w:ascii="Times New Roman" w:hAnsi="Times New Roman" w:cs="Times New Roman"/>
                <w:spacing w:val="6"/>
                <w:sz w:val="24"/>
                <w:vertAlign w:val="subscript"/>
              </w:rPr>
              <w:t>10</w:t>
            </w:r>
            <w:r>
              <w:rPr>
                <w:rFonts w:hint="eastAsia" w:ascii="Times New Roman" w:hAnsi="Times New Roman" w:cs="Times New Roman"/>
                <w:spacing w:val="6"/>
                <w:sz w:val="24"/>
              </w:rPr>
              <w:t>达标</w:t>
            </w:r>
            <w:r>
              <w:rPr>
                <w:rFonts w:ascii="Times New Roman" w:hAnsi="Times New Roman" w:cs="Times New Roman"/>
                <w:spacing w:val="6"/>
                <w:sz w:val="24"/>
              </w:rPr>
              <w:t>。新增污染源正常情况下排放PM</w:t>
            </w:r>
            <w:r>
              <w:rPr>
                <w:rFonts w:ascii="Times New Roman" w:hAnsi="Times New Roman" w:cs="Times New Roman"/>
                <w:spacing w:val="6"/>
                <w:sz w:val="24"/>
                <w:vertAlign w:val="subscript"/>
              </w:rPr>
              <w:t>10</w:t>
            </w:r>
            <w:r>
              <w:rPr>
                <w:rFonts w:ascii="Times New Roman" w:hAnsi="Times New Roman" w:cs="Times New Roman"/>
                <w:spacing w:val="6"/>
                <w:sz w:val="24"/>
              </w:rPr>
              <w:t>和TSP短期浓度贡献值的最大浓度占标率小于10%。因此，本项目建成后，大气环境影响可接受，项目大气污染物排放方案可行。</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（2）大气污染控制措施</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原料和产品均储存在全封闭库房内；</w:t>
            </w:r>
            <w:r>
              <w:rPr>
                <w:rFonts w:hint="eastAsia" w:ascii="Times New Roman" w:hAnsi="Times New Roman" w:cs="Times New Roman"/>
                <w:spacing w:val="6"/>
                <w:sz w:val="24"/>
                <w:lang w:eastAsia="zh-CN"/>
              </w:rPr>
              <w:t>进料、</w:t>
            </w:r>
            <w:r>
              <w:rPr>
                <w:rFonts w:ascii="Times New Roman" w:hAnsi="Times New Roman" w:cs="Times New Roman"/>
                <w:spacing w:val="6"/>
                <w:sz w:val="24"/>
              </w:rPr>
              <w:t>破碎</w:t>
            </w:r>
            <w:r>
              <w:rPr>
                <w:rFonts w:hint="eastAsia" w:ascii="Times New Roman" w:hAnsi="Times New Roman" w:cs="Times New Roman"/>
                <w:spacing w:val="6"/>
                <w:sz w:val="24"/>
              </w:rPr>
              <w:t>、振筛</w:t>
            </w:r>
            <w:r>
              <w:rPr>
                <w:rFonts w:ascii="Times New Roman" w:hAnsi="Times New Roman" w:cs="Times New Roman"/>
                <w:spacing w:val="6"/>
                <w:sz w:val="24"/>
              </w:rPr>
              <w:t>工段设在全封闭的生产车间内，</w:t>
            </w:r>
            <w:r>
              <w:rPr>
                <w:rFonts w:hint="eastAsia" w:ascii="Times New Roman" w:hAnsi="Times New Roman" w:cs="Times New Roman"/>
                <w:spacing w:val="6"/>
                <w:sz w:val="24"/>
              </w:rPr>
              <w:t>并</w:t>
            </w:r>
            <w:r>
              <w:rPr>
                <w:rFonts w:ascii="Times New Roman" w:hAnsi="Times New Roman" w:cs="Times New Roman"/>
                <w:spacing w:val="6"/>
                <w:sz w:val="24"/>
              </w:rPr>
              <w:t>设置</w:t>
            </w:r>
            <w:r>
              <w:rPr>
                <w:rFonts w:hint="eastAsia" w:ascii="Times New Roman" w:hAnsi="Times New Roman" w:cs="Times New Roman"/>
                <w:spacing w:val="6"/>
                <w:sz w:val="24"/>
                <w:lang w:val="en-US" w:eastAsia="zh-CN"/>
              </w:rPr>
              <w:t>6</w:t>
            </w:r>
            <w:r>
              <w:rPr>
                <w:rFonts w:ascii="Times New Roman" w:hAnsi="Times New Roman" w:cs="Times New Roman"/>
                <w:spacing w:val="6"/>
                <w:sz w:val="24"/>
              </w:rPr>
              <w:t>个</w:t>
            </w:r>
            <w:r>
              <w:rPr>
                <w:rFonts w:hint="eastAsia" w:ascii="Times New Roman" w:hAnsi="Times New Roman" w:cs="Times New Roman"/>
                <w:spacing w:val="6"/>
                <w:sz w:val="24"/>
              </w:rPr>
              <w:t>伞形</w:t>
            </w:r>
            <w:r>
              <w:rPr>
                <w:rFonts w:ascii="Times New Roman" w:hAnsi="Times New Roman" w:cs="Times New Roman"/>
                <w:spacing w:val="6"/>
                <w:sz w:val="24"/>
              </w:rPr>
              <w:t>集尘罩+1台布袋除尘器+1根15m高排气筒，经预测可知，本项目在正常工况下大气污染物最大落地浓度的占标率均小于10%。因此，本项目采用的污染控制措施合理。</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（3）污染物排放总量控制指标的落实情况</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本项目涉及国家和地方实施控制的总量控制因子为粉尘，评价核算的总量控制指标为：粉尘</w:t>
            </w:r>
            <w:r>
              <w:rPr>
                <w:rFonts w:hint="eastAsia" w:ascii="Times New Roman" w:hAnsi="Times New Roman" w:cs="Times New Roman"/>
                <w:spacing w:val="6"/>
                <w:sz w:val="24"/>
                <w:lang w:val="en-US" w:eastAsia="zh-CN"/>
              </w:rPr>
              <w:t>1.44</w:t>
            </w:r>
            <w:r>
              <w:rPr>
                <w:rFonts w:ascii="Times New Roman" w:hAnsi="Times New Roman" w:cs="Times New Roman"/>
                <w:spacing w:val="6"/>
                <w:sz w:val="24"/>
              </w:rPr>
              <w:t>t/a。</w:t>
            </w:r>
          </w:p>
          <w:p>
            <w:pPr>
              <w:spacing w:line="480" w:lineRule="exact"/>
              <w:ind w:firstLine="482" w:firstLineChars="200"/>
              <w:rPr>
                <w:rFonts w:ascii="Times New Roman" w:hAnsi="Times New Roman" w:cs="Times New Roman"/>
                <w:b/>
                <w:bCs/>
                <w:sz w:val="24"/>
              </w:rPr>
            </w:pPr>
            <w:r>
              <w:rPr>
                <w:rFonts w:ascii="Times New Roman" w:hAnsi="Times New Roman" w:cs="Times New Roman"/>
                <w:b/>
                <w:bCs/>
                <w:sz w:val="24"/>
              </w:rPr>
              <w:t>1.5建设项目大气环境影响评价自查表</w:t>
            </w:r>
          </w:p>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本项目污染物有组织排放量核算见下表。</w:t>
            </w:r>
          </w:p>
          <w:p>
            <w:pPr>
              <w:spacing w:line="500" w:lineRule="exact"/>
              <w:jc w:val="center"/>
              <w:rPr>
                <w:rFonts w:ascii="Times New Roman" w:hAnsi="Times New Roman" w:cs="Times New Roman"/>
                <w:b/>
                <w:szCs w:val="21"/>
              </w:rPr>
            </w:pPr>
            <w:r>
              <w:rPr>
                <w:rFonts w:ascii="Times New Roman" w:hAnsi="Times New Roman" w:cs="Times New Roman"/>
                <w:b/>
                <w:szCs w:val="21"/>
              </w:rPr>
              <w:t>表</w:t>
            </w:r>
            <w:r>
              <w:rPr>
                <w:rFonts w:hint="eastAsia" w:ascii="Times New Roman" w:hAnsi="Times New Roman" w:cs="Times New Roman"/>
                <w:b/>
                <w:szCs w:val="21"/>
              </w:rPr>
              <w:t>7-11</w:t>
            </w:r>
            <w:r>
              <w:rPr>
                <w:rFonts w:ascii="Times New Roman" w:hAnsi="Times New Roman" w:cs="Times New Roman"/>
                <w:b/>
                <w:szCs w:val="21"/>
              </w:rPr>
              <w:t>大气污染物有组织排放量核算表</w:t>
            </w:r>
          </w:p>
          <w:tbl>
            <w:tblPr>
              <w:tblStyle w:val="40"/>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02"/>
              <w:gridCol w:w="1410"/>
              <w:gridCol w:w="1335"/>
              <w:gridCol w:w="2372"/>
              <w:gridCol w:w="1781"/>
              <w:gridCol w:w="13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43"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778"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排放口编号</w:t>
                  </w:r>
                </w:p>
              </w:tc>
              <w:tc>
                <w:tcPr>
                  <w:tcW w:w="738"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污染物</w:t>
                  </w:r>
                </w:p>
              </w:tc>
              <w:tc>
                <w:tcPr>
                  <w:tcW w:w="1311"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核算排放浓度/</w:t>
                  </w:r>
                </w:p>
                <w:p>
                  <w:pPr>
                    <w:jc w:val="center"/>
                    <w:rPr>
                      <w:rFonts w:ascii="Times New Roman" w:hAnsi="Times New Roman" w:cs="Times New Roman"/>
                      <w:szCs w:val="21"/>
                    </w:rPr>
                  </w:pPr>
                  <w:r>
                    <w:rPr>
                      <w:rFonts w:ascii="Times New Roman" w:hAnsi="Times New Roman" w:cs="Times New Roman"/>
                      <w:szCs w:val="21"/>
                    </w:rPr>
                    <w:t>(mg/m</w:t>
                  </w:r>
                  <w:r>
                    <w:rPr>
                      <w:rFonts w:ascii="Times New Roman" w:hAnsi="Times New Roman" w:cs="Times New Roman"/>
                      <w:szCs w:val="21"/>
                      <w:vertAlign w:val="superscript"/>
                    </w:rPr>
                    <w:t>3</w:t>
                  </w:r>
                  <w:r>
                    <w:rPr>
                      <w:rFonts w:ascii="Times New Roman" w:hAnsi="Times New Roman" w:cs="Times New Roman"/>
                      <w:szCs w:val="21"/>
                    </w:rPr>
                    <w:t>)</w:t>
                  </w:r>
                </w:p>
              </w:tc>
              <w:tc>
                <w:tcPr>
                  <w:tcW w:w="983"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核算排放速率/</w:t>
                  </w:r>
                </w:p>
                <w:p>
                  <w:pPr>
                    <w:jc w:val="center"/>
                    <w:rPr>
                      <w:rFonts w:ascii="Times New Roman" w:hAnsi="Times New Roman" w:cs="Times New Roman"/>
                      <w:szCs w:val="21"/>
                    </w:rPr>
                  </w:pPr>
                  <w:r>
                    <w:rPr>
                      <w:rFonts w:ascii="Times New Roman" w:hAnsi="Times New Roman" w:cs="Times New Roman"/>
                      <w:szCs w:val="21"/>
                    </w:rPr>
                    <w:t>(kg/h)</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核算年排放量/</w:t>
                  </w:r>
                </w:p>
                <w:p>
                  <w:pPr>
                    <w:jc w:val="center"/>
                    <w:rPr>
                      <w:rFonts w:ascii="Times New Roman" w:hAnsi="Times New Roman" w:cs="Times New Roman"/>
                      <w:szCs w:val="21"/>
                    </w:rPr>
                  </w:pPr>
                  <w:r>
                    <w:rPr>
                      <w:rFonts w:ascii="Times New Roman" w:hAnsi="Times New Roman" w:cs="Times New Roman"/>
                      <w:szCs w:val="21"/>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6"/>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一般排放口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43"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1</w:t>
                  </w:r>
                </w:p>
              </w:tc>
              <w:tc>
                <w:tcPr>
                  <w:tcW w:w="778"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DA001</w:t>
                  </w:r>
                </w:p>
              </w:tc>
              <w:tc>
                <w:tcPr>
                  <w:tcW w:w="738"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1311" w:type="pct"/>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20</w:t>
                  </w:r>
                </w:p>
              </w:tc>
              <w:tc>
                <w:tcPr>
                  <w:tcW w:w="983" w:type="pct"/>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0.60</w:t>
                  </w:r>
                </w:p>
              </w:tc>
              <w:tc>
                <w:tcPr>
                  <w:tcW w:w="744" w:type="pct"/>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一般排放口合计</w:t>
                  </w: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SO</w:t>
                  </w:r>
                  <w:r>
                    <w:rPr>
                      <w:rFonts w:ascii="Times New Roman" w:hAnsi="Times New Roman" w:cs="Times New Roman"/>
                      <w:szCs w:val="21"/>
                      <w:vertAlign w:val="subscript"/>
                    </w:rPr>
                    <w:t>2</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NO</w:t>
                  </w:r>
                  <w:r>
                    <w:rPr>
                      <w:rFonts w:ascii="Times New Roman" w:hAnsi="Times New Roman" w:cs="Times New Roman"/>
                      <w:szCs w:val="21"/>
                      <w:vertAlign w:val="subscript"/>
                    </w:rPr>
                    <w:t>x</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744" w:type="pct"/>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VOCs</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6"/>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有组织排放总计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有组织排放总计</w:t>
                  </w: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SO</w:t>
                  </w:r>
                  <w:r>
                    <w:rPr>
                      <w:rFonts w:ascii="Times New Roman" w:hAnsi="Times New Roman" w:cs="Times New Roman"/>
                      <w:szCs w:val="21"/>
                      <w:vertAlign w:val="subscript"/>
                    </w:rPr>
                    <w:t>2</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NO</w:t>
                  </w:r>
                  <w:r>
                    <w:rPr>
                      <w:rFonts w:ascii="Times New Roman" w:hAnsi="Times New Roman" w:cs="Times New Roman"/>
                      <w:szCs w:val="21"/>
                      <w:vertAlign w:val="subscript"/>
                    </w:rPr>
                    <w:t>x</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744" w:type="pct"/>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VOCs</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restar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无组织排放总计</w:t>
                  </w: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SO</w:t>
                  </w:r>
                  <w:r>
                    <w:rPr>
                      <w:rFonts w:ascii="Times New Roman" w:hAnsi="Times New Roman" w:cs="Times New Roman"/>
                      <w:szCs w:val="21"/>
                      <w:vertAlign w:val="subscript"/>
                    </w:rPr>
                    <w:t>2</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NO</w:t>
                  </w:r>
                  <w:r>
                    <w:rPr>
                      <w:rFonts w:ascii="Times New Roman" w:hAnsi="Times New Roman" w:cs="Times New Roman"/>
                      <w:szCs w:val="21"/>
                      <w:vertAlign w:val="subscript"/>
                    </w:rPr>
                    <w:t>x</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颗粒物</w:t>
                  </w:r>
                </w:p>
              </w:tc>
              <w:tc>
                <w:tcPr>
                  <w:tcW w:w="744" w:type="pct"/>
                  <w:tcBorders>
                    <w:tl2br w:val="nil"/>
                    <w:tr2bl w:val="nil"/>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222" w:type="pct"/>
                  <w:gridSpan w:val="2"/>
                  <w:vMerge w:val="continue"/>
                  <w:tcBorders>
                    <w:tl2br w:val="nil"/>
                    <w:tr2bl w:val="nil"/>
                  </w:tcBorders>
                  <w:vAlign w:val="center"/>
                </w:tcPr>
                <w:p>
                  <w:pPr>
                    <w:jc w:val="center"/>
                    <w:rPr>
                      <w:rFonts w:ascii="Times New Roman" w:hAnsi="Times New Roman" w:cs="Times New Roman"/>
                      <w:szCs w:val="21"/>
                    </w:rPr>
                  </w:pPr>
                </w:p>
              </w:tc>
              <w:tc>
                <w:tcPr>
                  <w:tcW w:w="3033" w:type="pct"/>
                  <w:gridSpan w:val="3"/>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VOCs</w:t>
                  </w:r>
                </w:p>
              </w:tc>
              <w:tc>
                <w:tcPr>
                  <w:tcW w:w="744" w:type="pct"/>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w:t>
                  </w:r>
                </w:p>
              </w:tc>
            </w:tr>
          </w:tbl>
          <w:p>
            <w:pPr>
              <w:snapToGrid w:val="0"/>
              <w:spacing w:line="480" w:lineRule="exact"/>
              <w:ind w:firstLine="504"/>
              <w:jc w:val="left"/>
              <w:rPr>
                <w:rFonts w:ascii="Times New Roman" w:hAnsi="Times New Roman" w:cs="Times New Roman"/>
                <w:spacing w:val="6"/>
                <w:sz w:val="24"/>
              </w:rPr>
            </w:pPr>
            <w:r>
              <w:rPr>
                <w:rFonts w:ascii="Times New Roman" w:hAnsi="Times New Roman" w:cs="Times New Roman"/>
                <w:spacing w:val="6"/>
                <w:sz w:val="24"/>
              </w:rPr>
              <w:t>大气环境影响评价自查表见下表。</w:t>
            </w:r>
          </w:p>
          <w:p>
            <w:pPr>
              <w:spacing w:line="500" w:lineRule="exact"/>
              <w:jc w:val="center"/>
              <w:rPr>
                <w:rFonts w:ascii="Times New Roman" w:hAnsi="Times New Roman" w:cs="Times New Roman"/>
                <w:b/>
                <w:szCs w:val="21"/>
              </w:rPr>
            </w:pPr>
            <w:r>
              <w:rPr>
                <w:rFonts w:ascii="Times New Roman" w:hAnsi="Times New Roman" w:cs="Times New Roman"/>
                <w:b/>
                <w:szCs w:val="21"/>
              </w:rPr>
              <w:t>表</w:t>
            </w:r>
            <w:r>
              <w:rPr>
                <w:rFonts w:hint="eastAsia" w:ascii="Times New Roman" w:hAnsi="Times New Roman" w:cs="Times New Roman"/>
                <w:b/>
                <w:szCs w:val="21"/>
              </w:rPr>
              <w:t>7-12</w:t>
            </w:r>
            <w:r>
              <w:rPr>
                <w:rFonts w:ascii="Times New Roman" w:hAnsi="Times New Roman" w:cs="Times New Roman"/>
                <w:b/>
                <w:szCs w:val="21"/>
              </w:rPr>
              <w:t>大气环境影响评价自查表</w:t>
            </w:r>
          </w:p>
          <w:tbl>
            <w:tblPr>
              <w:tblStyle w:val="40"/>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97"/>
              <w:gridCol w:w="1214"/>
              <w:gridCol w:w="885"/>
              <w:gridCol w:w="109"/>
              <w:gridCol w:w="702"/>
              <w:gridCol w:w="239"/>
              <w:gridCol w:w="1004"/>
              <w:gridCol w:w="71"/>
              <w:gridCol w:w="371"/>
              <w:gridCol w:w="856"/>
              <w:gridCol w:w="706"/>
              <w:gridCol w:w="54"/>
              <w:gridCol w:w="237"/>
              <w:gridCol w:w="300"/>
              <w:gridCol w:w="14"/>
              <w:gridCol w:w="217"/>
              <w:gridCol w:w="470"/>
              <w:gridCol w:w="5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277" w:type="pct"/>
                  <w:gridSpan w:val="2"/>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工作内容</w:t>
                  </w:r>
                </w:p>
              </w:tc>
              <w:tc>
                <w:tcPr>
                  <w:tcW w:w="3722" w:type="pct"/>
                  <w:gridSpan w:val="1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自查项目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606" w:type="pct"/>
                  <w:vMerge w:val="restar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评价等级与范围</w:t>
                  </w: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评价等级</w:t>
                  </w:r>
                </w:p>
              </w:tc>
              <w:tc>
                <w:tcPr>
                  <w:tcW w:w="1069"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一级□</w:t>
                  </w:r>
                </w:p>
              </w:tc>
              <w:tc>
                <w:tcPr>
                  <w:tcW w:w="1823"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二级☑</w:t>
                  </w:r>
                </w:p>
              </w:tc>
              <w:tc>
                <w:tcPr>
                  <w:tcW w:w="829" w:type="pct"/>
                  <w:gridSpan w:val="5"/>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评价范围</w:t>
                  </w:r>
                </w:p>
              </w:tc>
              <w:tc>
                <w:tcPr>
                  <w:tcW w:w="1069"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边长=50km□</w:t>
                  </w:r>
                </w:p>
              </w:tc>
              <w:tc>
                <w:tcPr>
                  <w:tcW w:w="1823"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边长5～50km□</w:t>
                  </w:r>
                </w:p>
              </w:tc>
              <w:tc>
                <w:tcPr>
                  <w:tcW w:w="829" w:type="pct"/>
                  <w:gridSpan w:val="5"/>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边长=5 km☑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vMerge w:val="restar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评价因子</w:t>
                  </w: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SO</w:t>
                  </w:r>
                  <w:r>
                    <w:rPr>
                      <w:rFonts w:ascii="Times New Roman" w:hAnsi="Times New Roman" w:eastAsia="宋体" w:cs="Times New Roman"/>
                      <w:sz w:val="18"/>
                      <w:szCs w:val="18"/>
                      <w:vertAlign w:val="subscript"/>
                    </w:rPr>
                    <w:t xml:space="preserve">2 </w:t>
                  </w:r>
                  <w:r>
                    <w:rPr>
                      <w:rFonts w:ascii="Times New Roman" w:hAnsi="Times New Roman" w:eastAsia="宋体" w:cs="Times New Roman"/>
                      <w:sz w:val="18"/>
                      <w:szCs w:val="18"/>
                    </w:rPr>
                    <w:t>+NOx排放量</w:t>
                  </w:r>
                </w:p>
              </w:tc>
              <w:tc>
                <w:tcPr>
                  <w:tcW w:w="1069"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 2000t/a□</w:t>
                  </w:r>
                </w:p>
              </w:tc>
              <w:tc>
                <w:tcPr>
                  <w:tcW w:w="1823"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 ~ 2000t/a□</w:t>
                  </w:r>
                </w:p>
              </w:tc>
              <w:tc>
                <w:tcPr>
                  <w:tcW w:w="829" w:type="pct"/>
                  <w:gridSpan w:val="5"/>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 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19"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评价因子</w:t>
                  </w:r>
                </w:p>
              </w:tc>
              <w:tc>
                <w:tcPr>
                  <w:tcW w:w="2761" w:type="pct"/>
                  <w:gridSpan w:val="10"/>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基本污染物 (PM</w:t>
                  </w:r>
                  <w:r>
                    <w:rPr>
                      <w:rFonts w:ascii="Times New Roman" w:hAnsi="Times New Roman" w:eastAsia="宋体" w:cs="Times New Roman"/>
                      <w:sz w:val="18"/>
                      <w:szCs w:val="18"/>
                      <w:vertAlign w:val="subscript"/>
                    </w:rPr>
                    <w:t>10</w:t>
                  </w:r>
                  <w:r>
                    <w:rPr>
                      <w:rFonts w:ascii="Times New Roman" w:hAnsi="Times New Roman" w:eastAsia="宋体" w:cs="Times New Roman"/>
                      <w:sz w:val="18"/>
                      <w:szCs w:val="18"/>
                    </w:rPr>
                    <w:t>、PM</w:t>
                  </w:r>
                  <w:r>
                    <w:rPr>
                      <w:rFonts w:ascii="Times New Roman" w:hAnsi="Times New Roman" w:eastAsia="宋体" w:cs="Times New Roman"/>
                      <w:sz w:val="18"/>
                      <w:szCs w:val="18"/>
                      <w:vertAlign w:val="subscript"/>
                    </w:rPr>
                    <w:t>2.5</w:t>
                  </w:r>
                  <w:r>
                    <w:rPr>
                      <w:rFonts w:ascii="Times New Roman" w:hAnsi="Times New Roman" w:eastAsia="宋体" w:cs="Times New Roman"/>
                      <w:sz w:val="18"/>
                      <w:szCs w:val="18"/>
                    </w:rPr>
                    <w:t>、SO</w:t>
                  </w:r>
                  <w:r>
                    <w:rPr>
                      <w:rFonts w:ascii="Times New Roman" w:hAnsi="Times New Roman" w:eastAsia="宋体" w:cs="Times New Roman"/>
                      <w:sz w:val="18"/>
                      <w:szCs w:val="18"/>
                      <w:vertAlign w:val="subscript"/>
                    </w:rPr>
                    <w:t>2</w:t>
                  </w:r>
                  <w:r>
                    <w:rPr>
                      <w:rFonts w:ascii="Times New Roman" w:hAnsi="Times New Roman" w:eastAsia="宋体" w:cs="Times New Roman"/>
                      <w:sz w:val="18"/>
                      <w:szCs w:val="18"/>
                    </w:rPr>
                    <w:t>、NO</w:t>
                  </w:r>
                  <w:r>
                    <w:rPr>
                      <w:rFonts w:ascii="Times New Roman" w:hAnsi="Times New Roman" w:eastAsia="宋体" w:cs="Times New Roman"/>
                      <w:sz w:val="18"/>
                      <w:szCs w:val="18"/>
                      <w:vertAlign w:val="subscript"/>
                    </w:rPr>
                    <w:t>2</w:t>
                  </w:r>
                  <w:r>
                    <w:rPr>
                      <w:rFonts w:ascii="Times New Roman" w:hAnsi="Times New Roman" w:eastAsia="宋体" w:cs="Times New Roman"/>
                      <w:sz w:val="18"/>
                      <w:szCs w:val="18"/>
                    </w:rPr>
                    <w:t>、CO、O</w:t>
                  </w:r>
                  <w:r>
                    <w:rPr>
                      <w:rFonts w:ascii="Times New Roman" w:hAnsi="Times New Roman" w:eastAsia="宋体" w:cs="Times New Roman"/>
                      <w:sz w:val="18"/>
                      <w:szCs w:val="18"/>
                      <w:vertAlign w:val="subscript"/>
                    </w:rPr>
                    <w:t>3</w:t>
                  </w:r>
                  <w:r>
                    <w:rPr>
                      <w:rFonts w:ascii="Times New Roman" w:hAnsi="Times New Roman" w:eastAsia="宋体" w:cs="Times New Roman"/>
                      <w:sz w:val="18"/>
                      <w:szCs w:val="18"/>
                    </w:rPr>
                    <w:t>)</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其他污染物                          </w:t>
                  </w:r>
                </w:p>
              </w:tc>
              <w:tc>
                <w:tcPr>
                  <w:tcW w:w="961" w:type="pct"/>
                  <w:gridSpan w:val="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包括二次PM□</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不包括二次PM</w:t>
                  </w:r>
                  <w:r>
                    <w:rPr>
                      <w:rFonts w:ascii="Times New Roman" w:hAnsi="Times New Roman" w:eastAsia="宋体" w:cs="Times New Roman"/>
                      <w:sz w:val="18"/>
                      <w:szCs w:val="18"/>
                      <w:vertAlign w:val="subscript"/>
                    </w:rPr>
                    <w:t>2.5</w:t>
                  </w:r>
                  <w:r>
                    <w:rPr>
                      <w:rFonts w:ascii="Times New Roman" w:hAnsi="Times New Roman" w:eastAsia="宋体" w:cs="Times New Roman"/>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评价标准</w:t>
                  </w: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评价标准</w:t>
                  </w:r>
                </w:p>
              </w:tc>
              <w:tc>
                <w:tcPr>
                  <w:tcW w:w="1069"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国家标准☑</w:t>
                  </w:r>
                </w:p>
              </w:tc>
              <w:tc>
                <w:tcPr>
                  <w:tcW w:w="1271"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地方标准 □</w:t>
                  </w:r>
                </w:p>
              </w:tc>
              <w:tc>
                <w:tcPr>
                  <w:tcW w:w="717"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附录D □</w:t>
                  </w:r>
                </w:p>
              </w:tc>
              <w:tc>
                <w:tcPr>
                  <w:tcW w:w="664"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其他标准□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vMerge w:val="restar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现状评价</w:t>
                  </w: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环境功能区</w:t>
                  </w:r>
                </w:p>
              </w:tc>
              <w:tc>
                <w:tcPr>
                  <w:tcW w:w="1069"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一类区□</w:t>
                  </w:r>
                </w:p>
              </w:tc>
              <w:tc>
                <w:tcPr>
                  <w:tcW w:w="2117" w:type="pct"/>
                  <w:gridSpan w:val="10"/>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二类区☑</w:t>
                  </w:r>
                </w:p>
              </w:tc>
              <w:tc>
                <w:tcPr>
                  <w:tcW w:w="535" w:type="pct"/>
                  <w:gridSpan w:val="2"/>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一类区和二类区□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评价基准年</w:t>
                  </w:r>
                </w:p>
              </w:tc>
              <w:tc>
                <w:tcPr>
                  <w:tcW w:w="3722" w:type="pct"/>
                  <w:gridSpan w:val="1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（201</w:t>
                  </w:r>
                  <w:r>
                    <w:rPr>
                      <w:rFonts w:hint="eastAsia" w:ascii="Times New Roman" w:hAnsi="Times New Roman" w:eastAsia="宋体" w:cs="Times New Roman"/>
                      <w:sz w:val="18"/>
                      <w:szCs w:val="18"/>
                    </w:rPr>
                    <w:t>9</w:t>
                  </w:r>
                  <w:r>
                    <w:rPr>
                      <w:rFonts w:ascii="Times New Roman" w:hAnsi="Times New Roman" w:eastAsia="宋体" w:cs="Times New Roman"/>
                      <w:sz w:val="18"/>
                      <w:szCs w:val="18"/>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环境空气质量</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现状调查数据来源</w:t>
                  </w:r>
                </w:p>
              </w:tc>
              <w:tc>
                <w:tcPr>
                  <w:tcW w:w="1069"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长期例行监测数据☑□</w:t>
                  </w:r>
                </w:p>
              </w:tc>
              <w:tc>
                <w:tcPr>
                  <w:tcW w:w="1823"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主管部门发布的数据□</w:t>
                  </w:r>
                </w:p>
              </w:tc>
              <w:tc>
                <w:tcPr>
                  <w:tcW w:w="829" w:type="pct"/>
                  <w:gridSpan w:val="5"/>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现状补充监测</w:t>
                  </w:r>
                  <w:r>
                    <w:rPr>
                      <w:rFonts w:ascii="Times New Roman" w:hAnsi="Times New Roman" w:eastAsia="宋体" w:cs="Times New Roman"/>
                      <w:sz w:val="18"/>
                      <w:szCs w:val="18"/>
                    </w:rPr>
                    <w:sym w:font="Wingdings 2" w:char="0052"/>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现状评价</w:t>
                  </w:r>
                </w:p>
              </w:tc>
              <w:tc>
                <w:tcPr>
                  <w:tcW w:w="2341"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达标区□</w:t>
                  </w:r>
                </w:p>
              </w:tc>
              <w:tc>
                <w:tcPr>
                  <w:tcW w:w="1381"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不达标区☑□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污染源</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调查</w:t>
                  </w: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调查内容</w:t>
                  </w:r>
                </w:p>
              </w:tc>
              <w:tc>
                <w:tcPr>
                  <w:tcW w:w="1069"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本项目正常排放源 ☑</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本项目非正常排放源 □</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现有污染源 □</w:t>
                  </w:r>
                </w:p>
              </w:tc>
              <w:tc>
                <w:tcPr>
                  <w:tcW w:w="1271"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拟替代的污染源□</w:t>
                  </w:r>
                </w:p>
              </w:tc>
              <w:tc>
                <w:tcPr>
                  <w:tcW w:w="717"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其他在建、拟建项目污染源□</w:t>
                  </w:r>
                </w:p>
              </w:tc>
              <w:tc>
                <w:tcPr>
                  <w:tcW w:w="664"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区域污染源□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vMerge w:val="restar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大气环境影响预测与评价</w:t>
                  </w: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预测模型</w:t>
                  </w:r>
                </w:p>
              </w:tc>
              <w:tc>
                <w:tcPr>
                  <w:tcW w:w="489"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AERMOD</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sym w:font="Wingdings 2" w:char="0052"/>
                  </w:r>
                </w:p>
              </w:tc>
              <w:tc>
                <w:tcPr>
                  <w:tcW w:w="447" w:type="pct"/>
                  <w:gridSpan w:val="2"/>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ADMS</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w:t>
                  </w:r>
                </w:p>
              </w:tc>
              <w:tc>
                <w:tcPr>
                  <w:tcW w:w="687" w:type="pct"/>
                  <w:gridSpan w:val="2"/>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AUSTAL2000</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w:t>
                  </w:r>
                </w:p>
              </w:tc>
              <w:tc>
                <w:tcPr>
                  <w:tcW w:w="716" w:type="pct"/>
                  <w:gridSpan w:val="3"/>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EDMS/AEDT</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w:t>
                  </w:r>
                </w:p>
              </w:tc>
              <w:tc>
                <w:tcPr>
                  <w:tcW w:w="551" w:type="pct"/>
                  <w:gridSpan w:val="3"/>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CALPUFF</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w:t>
                  </w:r>
                </w:p>
              </w:tc>
              <w:tc>
                <w:tcPr>
                  <w:tcW w:w="554"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网格模型</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w:t>
                  </w:r>
                </w:p>
              </w:tc>
              <w:tc>
                <w:tcPr>
                  <w:tcW w:w="275"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3"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预测范围</w:t>
                  </w:r>
                </w:p>
              </w:tc>
              <w:tc>
                <w:tcPr>
                  <w:tcW w:w="937" w:type="pct"/>
                  <w:gridSpan w:val="3"/>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边长≥ 50km□</w:t>
                  </w:r>
                </w:p>
              </w:tc>
              <w:tc>
                <w:tcPr>
                  <w:tcW w:w="1955"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边长5～50km □</w:t>
                  </w:r>
                </w:p>
              </w:tc>
              <w:tc>
                <w:tcPr>
                  <w:tcW w:w="829" w:type="pct"/>
                  <w:gridSpan w:val="5"/>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边长 = 5 km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46"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预测因子</w:t>
                  </w:r>
                </w:p>
              </w:tc>
              <w:tc>
                <w:tcPr>
                  <w:tcW w:w="2341"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预测因子(</w:t>
                  </w:r>
                  <w:r>
                    <w:rPr>
                      <w:rFonts w:hint="eastAsia" w:ascii="Times New Roman" w:hAnsi="Times New Roman" w:eastAsia="宋体" w:cs="Times New Roman"/>
                      <w:sz w:val="18"/>
                      <w:szCs w:val="18"/>
                    </w:rPr>
                    <w:t>TSP、</w:t>
                  </w:r>
                  <w:r>
                    <w:rPr>
                      <w:rFonts w:ascii="Times New Roman" w:hAnsi="Times New Roman" w:eastAsia="宋体" w:cs="Times New Roman"/>
                      <w:sz w:val="18"/>
                      <w:szCs w:val="18"/>
                    </w:rPr>
                    <w:t>PM</w:t>
                  </w:r>
                  <w:r>
                    <w:rPr>
                      <w:rFonts w:ascii="Times New Roman" w:hAnsi="Times New Roman" w:eastAsia="宋体" w:cs="Times New Roman"/>
                      <w:sz w:val="18"/>
                      <w:szCs w:val="18"/>
                      <w:vertAlign w:val="subscript"/>
                    </w:rPr>
                    <w:t>10</w:t>
                  </w:r>
                  <w:r>
                    <w:rPr>
                      <w:rFonts w:ascii="Times New Roman" w:hAnsi="Times New Roman" w:eastAsia="宋体" w:cs="Times New Roman"/>
                      <w:sz w:val="18"/>
                      <w:szCs w:val="18"/>
                    </w:rPr>
                    <w:t>)</w:t>
                  </w:r>
                </w:p>
              </w:tc>
              <w:tc>
                <w:tcPr>
                  <w:tcW w:w="1381"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包括二次PM2.5 □</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不包括二次PM2.5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正常排放短期浓度</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贡献值</w:t>
                  </w:r>
                </w:p>
              </w:tc>
              <w:tc>
                <w:tcPr>
                  <w:tcW w:w="2341"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C本项目</w:t>
                  </w: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QUOTE </w:instrText>
                  </w: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QUOTE </w:instrText>
                  </w:r>
                  <w:r>
                    <w:rPr>
                      <w:rFonts w:ascii="Times New Roman" w:hAnsi="Times New Roman" w:eastAsia="宋体" w:cs="Times New Roman"/>
                      <w:sz w:val="18"/>
                      <w:szCs w:val="18"/>
                    </w:rPr>
                    <w:drawing>
                      <wp:inline distT="0" distB="0" distL="114300" distR="114300">
                        <wp:extent cx="371475" cy="400050"/>
                        <wp:effectExtent l="0" t="0" r="9525" b="0"/>
                        <wp:docPr id="1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2"/>
                                <pic:cNvPicPr>
                                  <a:picLocks noChangeAspect="1"/>
                                </pic:cNvPicPr>
                              </pic:nvPicPr>
                              <pic:blipFill>
                                <a:blip r:embed="rId15"/>
                                <a:stretch>
                                  <a:fillRect/>
                                </a:stretch>
                              </pic:blipFill>
                              <pic:spPr>
                                <a:xfrm>
                                  <a:off x="0" y="0"/>
                                  <a:ext cx="371475" cy="400050"/>
                                </a:xfrm>
                                <a:prstGeom prst="rect">
                                  <a:avLst/>
                                </a:prstGeom>
                                <a:noFill/>
                                <a:ln>
                                  <a:noFill/>
                                </a:ln>
                              </pic:spPr>
                            </pic:pic>
                          </a:graphicData>
                        </a:graphic>
                      </wp:inline>
                    </w:drawing>
                  </w:r>
                  <w:r>
                    <w:rPr>
                      <w:rFonts w:ascii="Times New Roman" w:hAnsi="Times New Roman" w:eastAsia="宋体" w:cs="Times New Roman"/>
                      <w:sz w:val="18"/>
                      <w:szCs w:val="18"/>
                    </w:rPr>
                    <w:instrText xml:space="preserve">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drawing>
                      <wp:inline distT="0" distB="0" distL="114300" distR="114300">
                        <wp:extent cx="371475" cy="400050"/>
                        <wp:effectExtent l="0" t="0" r="9525" b="0"/>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pic:cNvPicPr>
                              </pic:nvPicPr>
                              <pic:blipFill>
                                <a:blip r:embed="rId15"/>
                                <a:stretch>
                                  <a:fillRect/>
                                </a:stretch>
                              </pic:blipFill>
                              <pic:spPr>
                                <a:xfrm>
                                  <a:off x="0" y="0"/>
                                  <a:ext cx="371475" cy="400050"/>
                                </a:xfrm>
                                <a:prstGeom prst="rect">
                                  <a:avLst/>
                                </a:prstGeom>
                                <a:noFill/>
                                <a:ln>
                                  <a:noFill/>
                                </a:ln>
                              </pic:spPr>
                            </pic:pic>
                          </a:graphicData>
                        </a:graphic>
                      </wp:inline>
                    </w:drawing>
                  </w:r>
                  <w:r>
                    <w:rPr>
                      <w:rFonts w:ascii="Times New Roman" w:hAnsi="Times New Roman" w:eastAsia="宋体" w:cs="Times New Roman"/>
                      <w:sz w:val="18"/>
                      <w:szCs w:val="18"/>
                    </w:rPr>
                    <w:fldChar w:fldCharType="end"/>
                  </w:r>
                  <w:r>
                    <w:rPr>
                      <w:rFonts w:ascii="Times New Roman" w:hAnsi="Times New Roman" w:eastAsia="宋体" w:cs="Times New Roman"/>
                      <w:sz w:val="18"/>
                      <w:szCs w:val="18"/>
                    </w:rPr>
                    <w:instrText xml:space="preserve"> </w:instrText>
                  </w:r>
                  <w:r>
                    <w:rPr>
                      <w:rFonts w:ascii="Times New Roman" w:hAnsi="Times New Roman" w:eastAsia="宋体" w:cs="Times New Roman"/>
                      <w:sz w:val="18"/>
                      <w:szCs w:val="18"/>
                    </w:rPr>
                    <w:fldChar w:fldCharType="end"/>
                  </w:r>
                  <w:r>
                    <w:rPr>
                      <w:rFonts w:ascii="Times New Roman" w:hAnsi="Times New Roman" w:eastAsia="宋体" w:cs="Times New Roman"/>
                      <w:sz w:val="18"/>
                      <w:szCs w:val="18"/>
                    </w:rPr>
                    <w:t>最大占标率≤100%☑</w:t>
                  </w:r>
                </w:p>
              </w:tc>
              <w:tc>
                <w:tcPr>
                  <w:tcW w:w="1381"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C本项目最大占标率＞100%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4"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vMerge w:val="restar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正常排放年均浓度</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贡献值</w:t>
                  </w:r>
                </w:p>
              </w:tc>
              <w:tc>
                <w:tcPr>
                  <w:tcW w:w="489"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一类区</w:t>
                  </w:r>
                </w:p>
              </w:tc>
              <w:tc>
                <w:tcPr>
                  <w:tcW w:w="1851"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C本项目最大占标率</w:t>
                  </w:r>
                  <w:bookmarkStart w:id="6" w:name="OLE_LINK7"/>
                  <w:r>
                    <w:rPr>
                      <w:rFonts w:ascii="Times New Roman" w:hAnsi="Times New Roman" w:eastAsia="宋体" w:cs="Times New Roman"/>
                      <w:sz w:val="18"/>
                      <w:szCs w:val="18"/>
                    </w:rPr>
                    <w:t>≤</w:t>
                  </w:r>
                  <w:bookmarkEnd w:id="6"/>
                  <w:r>
                    <w:rPr>
                      <w:rFonts w:ascii="Times New Roman" w:hAnsi="Times New Roman" w:eastAsia="宋体" w:cs="Times New Roman"/>
                      <w:sz w:val="18"/>
                      <w:szCs w:val="18"/>
                    </w:rPr>
                    <w:t>10%□</w:t>
                  </w:r>
                </w:p>
              </w:tc>
              <w:tc>
                <w:tcPr>
                  <w:tcW w:w="1381"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C本项目最大标率＞10%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489"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二类区</w:t>
                  </w:r>
                </w:p>
              </w:tc>
              <w:tc>
                <w:tcPr>
                  <w:tcW w:w="1851"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C本项目最大占标率≤30%□</w:t>
                  </w:r>
                </w:p>
              </w:tc>
              <w:tc>
                <w:tcPr>
                  <w:tcW w:w="1381" w:type="pct"/>
                  <w:gridSpan w:val="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C本项目最大标率＞30%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非正常排放1h浓度</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贡献值</w:t>
                  </w:r>
                </w:p>
              </w:tc>
              <w:tc>
                <w:tcPr>
                  <w:tcW w:w="1069"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非正常持续时长</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  ）h</w:t>
                  </w:r>
                </w:p>
              </w:tc>
              <w:tc>
                <w:tcPr>
                  <w:tcW w:w="1662" w:type="pct"/>
                  <w:gridSpan w:val="5"/>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C非正常</w:t>
                  </w: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QUOTE </w:instrText>
                  </w: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QUOTE </w:instrText>
                  </w:r>
                  <w:r>
                    <w:rPr>
                      <w:rFonts w:ascii="Times New Roman" w:hAnsi="Times New Roman" w:eastAsia="宋体" w:cs="Times New Roman"/>
                      <w:sz w:val="18"/>
                      <w:szCs w:val="18"/>
                    </w:rPr>
                    <w:drawing>
                      <wp:inline distT="0" distB="0" distL="114300" distR="114300">
                        <wp:extent cx="371475" cy="400050"/>
                        <wp:effectExtent l="0" t="0" r="9525" b="0"/>
                        <wp:docPr id="1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4"/>
                                <pic:cNvPicPr>
                                  <a:picLocks noChangeAspect="1"/>
                                </pic:cNvPicPr>
                              </pic:nvPicPr>
                              <pic:blipFill>
                                <a:blip r:embed="rId16"/>
                                <a:stretch>
                                  <a:fillRect/>
                                </a:stretch>
                              </pic:blipFill>
                              <pic:spPr>
                                <a:xfrm>
                                  <a:off x="0" y="0"/>
                                  <a:ext cx="371475" cy="400050"/>
                                </a:xfrm>
                                <a:prstGeom prst="rect">
                                  <a:avLst/>
                                </a:prstGeom>
                                <a:noFill/>
                                <a:ln>
                                  <a:noFill/>
                                </a:ln>
                              </pic:spPr>
                            </pic:pic>
                          </a:graphicData>
                        </a:graphic>
                      </wp:inline>
                    </w:drawing>
                  </w:r>
                  <w:r>
                    <w:rPr>
                      <w:rFonts w:ascii="Times New Roman" w:hAnsi="Times New Roman" w:eastAsia="宋体" w:cs="Times New Roman"/>
                      <w:sz w:val="18"/>
                      <w:szCs w:val="18"/>
                    </w:rPr>
                    <w:instrText xml:space="preserve">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drawing>
                      <wp:inline distT="0" distB="0" distL="114300" distR="114300">
                        <wp:extent cx="371475" cy="400050"/>
                        <wp:effectExtent l="0" t="0" r="9525" b="0"/>
                        <wp:docPr id="2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5"/>
                                <pic:cNvPicPr>
                                  <a:picLocks noChangeAspect="1"/>
                                </pic:cNvPicPr>
                              </pic:nvPicPr>
                              <pic:blipFill>
                                <a:blip r:embed="rId16"/>
                                <a:stretch>
                                  <a:fillRect/>
                                </a:stretch>
                              </pic:blipFill>
                              <pic:spPr>
                                <a:xfrm>
                                  <a:off x="0" y="0"/>
                                  <a:ext cx="371475" cy="400050"/>
                                </a:xfrm>
                                <a:prstGeom prst="rect">
                                  <a:avLst/>
                                </a:prstGeom>
                                <a:noFill/>
                                <a:ln>
                                  <a:noFill/>
                                </a:ln>
                              </pic:spPr>
                            </pic:pic>
                          </a:graphicData>
                        </a:graphic>
                      </wp:inline>
                    </w:drawing>
                  </w:r>
                  <w:r>
                    <w:rPr>
                      <w:rFonts w:ascii="Times New Roman" w:hAnsi="Times New Roman" w:eastAsia="宋体" w:cs="Times New Roman"/>
                      <w:sz w:val="18"/>
                      <w:szCs w:val="18"/>
                    </w:rPr>
                    <w:fldChar w:fldCharType="end"/>
                  </w:r>
                  <w:r>
                    <w:rPr>
                      <w:rFonts w:ascii="Times New Roman" w:hAnsi="Times New Roman" w:eastAsia="宋体" w:cs="Times New Roman"/>
                      <w:sz w:val="18"/>
                      <w:szCs w:val="18"/>
                    </w:rPr>
                    <w:instrText xml:space="preserve"> </w:instrText>
                  </w:r>
                  <w:r>
                    <w:rPr>
                      <w:rFonts w:ascii="Times New Roman" w:hAnsi="Times New Roman" w:eastAsia="宋体" w:cs="Times New Roman"/>
                      <w:sz w:val="18"/>
                      <w:szCs w:val="18"/>
                    </w:rPr>
                    <w:fldChar w:fldCharType="end"/>
                  </w:r>
                  <w:r>
                    <w:rPr>
                      <w:rFonts w:ascii="Times New Roman" w:hAnsi="Times New Roman" w:eastAsia="宋体" w:cs="Times New Roman"/>
                      <w:sz w:val="18"/>
                      <w:szCs w:val="18"/>
                    </w:rPr>
                    <w:t>占标率≤100% □</w:t>
                  </w:r>
                </w:p>
              </w:tc>
              <w:tc>
                <w:tcPr>
                  <w:tcW w:w="990"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C非正常占标率＞100%□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保证率日平均浓度和年平均浓度叠加值</w:t>
                  </w:r>
                </w:p>
              </w:tc>
              <w:tc>
                <w:tcPr>
                  <w:tcW w:w="1868"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C叠加达标 □</w:t>
                  </w:r>
                </w:p>
              </w:tc>
              <w:tc>
                <w:tcPr>
                  <w:tcW w:w="1854" w:type="pct"/>
                  <w:gridSpan w:val="9"/>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C叠加不达标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区域环境质量的整体变化情况</w:t>
                  </w:r>
                </w:p>
              </w:tc>
              <w:tc>
                <w:tcPr>
                  <w:tcW w:w="1868" w:type="pct"/>
                  <w:gridSpan w:val="7"/>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k ≤-20% □</w:t>
                  </w:r>
                </w:p>
              </w:tc>
              <w:tc>
                <w:tcPr>
                  <w:tcW w:w="1854" w:type="pct"/>
                  <w:gridSpan w:val="9"/>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k ＞-20%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606" w:type="pct"/>
                  <w:vMerge w:val="restar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环境监测</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计划</w:t>
                  </w: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污染源监测</w:t>
                  </w:r>
                </w:p>
              </w:tc>
              <w:tc>
                <w:tcPr>
                  <w:tcW w:w="1663" w:type="pct"/>
                  <w:gridSpan w:val="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监测因子：（ 颗粒物 ）</w:t>
                  </w:r>
                </w:p>
              </w:tc>
              <w:tc>
                <w:tcPr>
                  <w:tcW w:w="1395" w:type="pct"/>
                  <w:gridSpan w:val="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有组织废气监测 ☑    </w:t>
                  </w:r>
                  <w:r>
                    <w:rPr>
                      <w:rFonts w:ascii="Times New Roman" w:hAnsi="Times New Roman" w:eastAsia="宋体" w:cs="Times New Roman"/>
                      <w:sz w:val="18"/>
                      <w:szCs w:val="18"/>
                    </w:rPr>
                    <w:br w:type="textWrapping"/>
                  </w:r>
                  <w:r>
                    <w:rPr>
                      <w:rFonts w:ascii="Times New Roman" w:hAnsi="Times New Roman" w:eastAsia="宋体" w:cs="Times New Roman"/>
                      <w:sz w:val="18"/>
                      <w:szCs w:val="18"/>
                    </w:rPr>
                    <w:t>无组织废气监测 ☑</w:t>
                  </w:r>
                </w:p>
              </w:tc>
              <w:tc>
                <w:tcPr>
                  <w:tcW w:w="664"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无监测□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环境质量监测</w:t>
                  </w:r>
                </w:p>
              </w:tc>
              <w:tc>
                <w:tcPr>
                  <w:tcW w:w="1663" w:type="pct"/>
                  <w:gridSpan w:val="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监测因子：（      ）</w:t>
                  </w:r>
                </w:p>
              </w:tc>
              <w:tc>
                <w:tcPr>
                  <w:tcW w:w="1395" w:type="pct"/>
                  <w:gridSpan w:val="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监测点位数（）</w:t>
                  </w:r>
                </w:p>
              </w:tc>
              <w:tc>
                <w:tcPr>
                  <w:tcW w:w="664" w:type="pct"/>
                  <w:gridSpan w:val="4"/>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无监测□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606" w:type="pct"/>
                  <w:vMerge w:val="restar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评价结论</w:t>
                  </w: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环境影响</w:t>
                  </w:r>
                </w:p>
              </w:tc>
              <w:tc>
                <w:tcPr>
                  <w:tcW w:w="3722" w:type="pct"/>
                  <w:gridSpan w:val="1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可以接受 ☑       不可以接受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3"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大气环境防护距离</w:t>
                  </w:r>
                </w:p>
              </w:tc>
              <w:tc>
                <w:tcPr>
                  <w:tcW w:w="3722" w:type="pct"/>
                  <w:gridSpan w:val="1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距（     ）厂界最远（     ）m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606" w:type="pct"/>
                  <w:vMerge w:val="continue"/>
                  <w:tcBorders>
                    <w:tl2br w:val="nil"/>
                    <w:tr2bl w:val="nil"/>
                  </w:tcBorders>
                  <w:vAlign w:val="center"/>
                </w:tcPr>
                <w:p>
                  <w:pPr>
                    <w:jc w:val="center"/>
                    <w:rPr>
                      <w:rFonts w:ascii="Times New Roman" w:hAnsi="Times New Roman" w:eastAsia="宋体" w:cs="Times New Roman"/>
                      <w:sz w:val="18"/>
                      <w:szCs w:val="18"/>
                    </w:rPr>
                  </w:pPr>
                </w:p>
              </w:tc>
              <w:tc>
                <w:tcPr>
                  <w:tcW w:w="670" w:type="pct"/>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污染源年排放量</w:t>
                  </w:r>
                </w:p>
              </w:tc>
              <w:tc>
                <w:tcPr>
                  <w:tcW w:w="549" w:type="pct"/>
                  <w:gridSpan w:val="2"/>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SO</w:t>
                  </w:r>
                  <w:r>
                    <w:rPr>
                      <w:rFonts w:ascii="Times New Roman" w:hAnsi="Times New Roman" w:eastAsia="宋体" w:cs="Times New Roman"/>
                      <w:sz w:val="18"/>
                      <w:szCs w:val="18"/>
                      <w:vertAlign w:val="subscript"/>
                    </w:rPr>
                    <w:t>2</w:t>
                  </w:r>
                  <w:r>
                    <w:rPr>
                      <w:rFonts w:ascii="Times New Roman" w:hAnsi="Times New Roman" w:eastAsia="宋体" w:cs="Times New Roman"/>
                      <w:sz w:val="18"/>
                      <w:szCs w:val="18"/>
                    </w:rPr>
                    <w:t>:（ ）t/a</w:t>
                  </w:r>
                </w:p>
              </w:tc>
              <w:tc>
                <w:tcPr>
                  <w:tcW w:w="1319" w:type="pct"/>
                  <w:gridSpan w:val="5"/>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NOx:（ ）t/a</w:t>
                  </w:r>
                </w:p>
              </w:tc>
              <w:tc>
                <w:tcPr>
                  <w:tcW w:w="1198" w:type="pct"/>
                  <w:gridSpan w:val="6"/>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颗粒物:（</w:t>
                  </w:r>
                  <w:r>
                    <w:rPr>
                      <w:rFonts w:hint="eastAsia" w:ascii="Times New Roman" w:hAnsi="Times New Roman" w:eastAsia="宋体" w:cs="Times New Roman"/>
                      <w:sz w:val="18"/>
                      <w:szCs w:val="18"/>
                      <w:lang w:val="en-US" w:eastAsia="zh-CN"/>
                    </w:rPr>
                    <w:t>1.44</w:t>
                  </w:r>
                  <w:r>
                    <w:rPr>
                      <w:rFonts w:ascii="Times New Roman" w:hAnsi="Times New Roman" w:eastAsia="宋体" w:cs="Times New Roman"/>
                      <w:sz w:val="18"/>
                      <w:szCs w:val="18"/>
                    </w:rPr>
                    <w:t>）t/a</w:t>
                  </w:r>
                </w:p>
              </w:tc>
              <w:tc>
                <w:tcPr>
                  <w:tcW w:w="655" w:type="pct"/>
                  <w:gridSpan w:val="3"/>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VOCs:（ ）t/a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000" w:type="pct"/>
                  <w:gridSpan w:val="18"/>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注：“□” 为勾选项 ，填“√” ；“（   ）” 为内容填写项</w:t>
                  </w:r>
                </w:p>
              </w:tc>
            </w:tr>
          </w:tbl>
          <w:p>
            <w:pPr>
              <w:tabs>
                <w:tab w:val="left" w:pos="5670"/>
              </w:tabs>
              <w:spacing w:before="25"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2、水环境影响分析</w:t>
            </w:r>
            <w:r>
              <w:rPr>
                <w:rFonts w:ascii="Times New Roman" w:hAnsi="Times New Roman" w:eastAsia="宋体" w:cs="Times New Roman"/>
                <w:b/>
                <w:color w:val="000000" w:themeColor="text1"/>
                <w:sz w:val="24"/>
                <w:szCs w:val="24"/>
              </w:rPr>
              <w:tab/>
            </w:r>
          </w:p>
          <w:p>
            <w:pPr>
              <w:spacing w:line="48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2.1废水源强</w:t>
            </w:r>
          </w:p>
          <w:p>
            <w:pPr>
              <w:spacing w:line="48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w:t>
            </w:r>
            <w:r>
              <w:rPr>
                <w:rFonts w:hint="eastAsia" w:ascii="Times New Roman" w:hAnsi="Times New Roman" w:cs="Times New Roman"/>
                <w:b/>
                <w:bCs/>
                <w:sz w:val="24"/>
                <w:szCs w:val="24"/>
                <w:lang w:eastAsia="zh-CN"/>
              </w:rPr>
              <w:t>洗车</w:t>
            </w:r>
            <w:r>
              <w:rPr>
                <w:rFonts w:ascii="Times New Roman" w:hAnsi="Times New Roman" w:cs="Times New Roman"/>
                <w:b/>
                <w:bCs/>
                <w:sz w:val="24"/>
                <w:szCs w:val="24"/>
              </w:rPr>
              <w:t>废水</w:t>
            </w:r>
          </w:p>
          <w:p>
            <w:pPr>
              <w:adjustRightInd w:val="0"/>
              <w:snapToGrid w:val="0"/>
              <w:spacing w:line="480" w:lineRule="exact"/>
              <w:ind w:firstLine="480" w:firstLineChars="200"/>
            </w:pPr>
            <w:r>
              <w:rPr>
                <w:rFonts w:hint="eastAsia" w:ascii="Times New Roman" w:hAnsi="Times New Roman" w:cs="Times New Roman"/>
                <w:bCs/>
                <w:sz w:val="24"/>
                <w:szCs w:val="24"/>
              </w:rPr>
              <w:t>本项目洗车产生废水量约为1.98t/d，594t/a；厂区门口设置1台车辆自动冲洗装置和1座沉淀池（5m</w:t>
            </w:r>
            <w:r>
              <w:rPr>
                <w:rFonts w:hint="eastAsia" w:ascii="Times New Roman" w:hAnsi="Times New Roman" w:cs="Times New Roman"/>
                <w:bCs/>
                <w:sz w:val="24"/>
                <w:szCs w:val="24"/>
                <w:vertAlign w:val="superscript"/>
              </w:rPr>
              <w:t>3</w:t>
            </w:r>
            <w:r>
              <w:rPr>
                <w:rFonts w:hint="eastAsia" w:ascii="Times New Roman" w:hAnsi="Times New Roman" w:cs="Times New Roman"/>
                <w:bCs/>
                <w:sz w:val="24"/>
                <w:szCs w:val="24"/>
              </w:rPr>
              <w:t>）、1座清水池（5m</w:t>
            </w:r>
            <w:r>
              <w:rPr>
                <w:rFonts w:hint="eastAsia" w:ascii="Times New Roman" w:hAnsi="Times New Roman" w:cs="Times New Roman"/>
                <w:bCs/>
                <w:sz w:val="24"/>
                <w:szCs w:val="24"/>
                <w:vertAlign w:val="superscript"/>
              </w:rPr>
              <w:t>3</w:t>
            </w:r>
            <w:r>
              <w:rPr>
                <w:rFonts w:hint="eastAsia" w:ascii="Times New Roman" w:hAnsi="Times New Roman" w:cs="Times New Roman"/>
                <w:bCs/>
                <w:sz w:val="24"/>
                <w:szCs w:val="24"/>
              </w:rPr>
              <w:t>）；冲洗废水经沉淀后回用，不外排。</w:t>
            </w:r>
          </w:p>
          <w:p>
            <w:pPr>
              <w:numPr>
                <w:ilvl w:val="0"/>
                <w:numId w:val="6"/>
              </w:numPr>
              <w:spacing w:line="48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生活污水</w:t>
            </w:r>
          </w:p>
          <w:p>
            <w:pPr>
              <w:spacing w:line="48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员工生活污水产生量为0.</w:t>
            </w:r>
            <w:r>
              <w:rPr>
                <w:rFonts w:hint="eastAsia" w:ascii="Times New Roman" w:hAnsi="Times New Roman" w:cs="Times New Roman"/>
                <w:bCs/>
                <w:sz w:val="24"/>
                <w:szCs w:val="24"/>
              </w:rPr>
              <w:t>24</w:t>
            </w:r>
            <w:r>
              <w:rPr>
                <w:rFonts w:ascii="Times New Roman" w:hAnsi="Times New Roman" w:cs="Times New Roman"/>
                <w:bCs/>
                <w:sz w:val="24"/>
                <w:szCs w:val="24"/>
              </w:rPr>
              <w:t>m</w:t>
            </w:r>
            <w:r>
              <w:rPr>
                <w:rFonts w:ascii="Times New Roman" w:hAnsi="Times New Roman" w:cs="Times New Roman"/>
                <w:bCs/>
                <w:sz w:val="24"/>
                <w:szCs w:val="24"/>
                <w:vertAlign w:val="superscript"/>
              </w:rPr>
              <w:t>3</w:t>
            </w:r>
            <w:r>
              <w:rPr>
                <w:rFonts w:ascii="Times New Roman" w:hAnsi="Times New Roman" w:cs="Times New Roman"/>
                <w:bCs/>
                <w:sz w:val="24"/>
                <w:szCs w:val="24"/>
              </w:rPr>
              <w:t>/d，设防渗旱厕，委托当地村民定期清掏外运，用于周边农田施肥，生活污水经沉淀后用于厂区绿化和道路洒水。</w:t>
            </w:r>
          </w:p>
          <w:p>
            <w:pPr>
              <w:spacing w:line="480" w:lineRule="exact"/>
              <w:ind w:firstLine="480" w:firstLineChars="200"/>
              <w:rPr>
                <w:rFonts w:ascii="Times New Roman" w:hAnsi="Times New Roman" w:cs="Times New Roman"/>
              </w:rPr>
            </w:pPr>
            <w:r>
              <w:rPr>
                <w:rFonts w:ascii="Times New Roman" w:hAnsi="Times New Roman" w:cs="Times New Roman"/>
                <w:bCs/>
                <w:sz w:val="24"/>
                <w:szCs w:val="24"/>
              </w:rPr>
              <w:t>通过上述分析，项目产生的污废水经处理后综合利用，对水体影响较小。</w:t>
            </w:r>
          </w:p>
          <w:p>
            <w:pPr>
              <w:spacing w:line="500" w:lineRule="exact"/>
              <w:ind w:firstLine="482" w:firstLineChars="200"/>
              <w:jc w:val="lef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（3）初期雨水收集池</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初期雨水冲刷工业场地后，含有大量的泥污等污染物，直接外排将污染水环境。建设单位将建一座初期雨水收集池，容积按评价根据太原工业大学采用数理统计法编的计算公式（公式采用了原平地区的参数）对本项目工业广场应设置的初期雨水收集池容积进行了计算，计算公式如下：</w:t>
            </w:r>
          </w:p>
          <w:p>
            <w:pPr>
              <w:spacing w:before="10"/>
              <w:ind w:firstLine="1200" w:firstLineChars="500"/>
              <w:rPr>
                <w:rFonts w:ascii="Times New Roman" w:hAnsi="Times New Roman" w:cs="Times New Roman"/>
                <w:sz w:val="24"/>
              </w:rPr>
            </w:pPr>
            <w:r>
              <w:rPr>
                <w:rFonts w:ascii="Times New Roman" w:hAnsi="Times New Roman" w:cs="Times New Roman"/>
                <w:position w:val="-10"/>
                <w:sz w:val="24"/>
              </w:rPr>
              <w:object>
                <v:shape id="_x0000_i1026" o:spt="75" type="#_x0000_t75" style="height:16.9pt;width:60.75pt;" o:ole="t" filled="f" o:preferrelative="t" stroked="f" coordsize="21600,21600">
                  <v:path/>
                  <v:fill on="f" focussize="0,0"/>
                  <v:stroke on="f" joinstyle="miter"/>
                  <v:imagedata r:id="rId18" o:title=""/>
                  <o:lock v:ext="edit" aspectratio="t"/>
                  <w10:wrap type="none"/>
                  <w10:anchorlock/>
                </v:shape>
                <o:OLEObject Type="Embed" ProgID="Equations" ShapeID="_x0000_i1026" DrawAspect="Content" ObjectID="_1468075726" r:id="rId17">
                  <o:LockedField>false</o:LockedField>
                </o:OLEObject>
              </w:object>
            </w:r>
          </w:p>
          <w:p>
            <w:pPr>
              <w:spacing w:before="10"/>
              <w:ind w:firstLine="1200" w:firstLineChars="500"/>
              <w:rPr>
                <w:rFonts w:ascii="Times New Roman" w:hAnsi="Times New Roman" w:cs="Times New Roman"/>
                <w:sz w:val="24"/>
              </w:rPr>
            </w:pPr>
            <w:r>
              <w:rPr>
                <w:rFonts w:ascii="Times New Roman" w:hAnsi="Times New Roman" w:cs="Times New Roman"/>
                <w:position w:val="-42"/>
                <w:sz w:val="24"/>
              </w:rPr>
              <w:object>
                <v:shape id="_x0000_i1027" o:spt="75" type="#_x0000_t75" style="height:40.05pt;width:103.95pt;" o:ole="t" filled="f" o:preferrelative="t" stroked="f" coordsize="21600,21600">
                  <v:path/>
                  <v:fill on="f" focussize="0,0"/>
                  <v:stroke on="f" joinstyle="miter"/>
                  <v:imagedata r:id="rId20" o:title=""/>
                  <o:lock v:ext="edit" aspectratio="t"/>
                  <w10:wrap type="none"/>
                  <w10:anchorlock/>
                </v:shape>
                <o:OLEObject Type="Embed" ProgID="Equations" ShapeID="_x0000_i1027" DrawAspect="Content" ObjectID="_1468075727" r:id="rId19">
                  <o:LockedField>false</o:LockedField>
                </o:OLEObject>
              </w:object>
            </w:r>
          </w:p>
          <w:p>
            <w:pPr>
              <w:spacing w:line="520" w:lineRule="exact"/>
              <w:ind w:firstLine="480" w:firstLineChars="200"/>
              <w:rPr>
                <w:rFonts w:ascii="Times New Roman" w:hAnsi="Times New Roman" w:cs="Times New Roman"/>
                <w:sz w:val="24"/>
              </w:rPr>
            </w:pPr>
            <w:r>
              <w:rPr>
                <w:rFonts w:ascii="Times New Roman" w:hAnsi="Times New Roman" w:cs="Times New Roman"/>
                <w:sz w:val="24"/>
              </w:rPr>
              <w:t>其中：Q——10分钟降雨量（m</w:t>
            </w:r>
            <w:r>
              <w:rPr>
                <w:rFonts w:ascii="Times New Roman" w:hAnsi="Times New Roman" w:cs="Times New Roman"/>
                <w:sz w:val="24"/>
                <w:vertAlign w:val="superscript"/>
              </w:rPr>
              <w:t>3</w:t>
            </w:r>
            <w:r>
              <w:rPr>
                <w:rFonts w:ascii="Times New Roman" w:hAnsi="Times New Roman" w:cs="Times New Roman"/>
                <w:sz w:val="24"/>
              </w:rPr>
              <w:t>）</w:t>
            </w:r>
          </w:p>
          <w:p>
            <w:pPr>
              <w:spacing w:line="520" w:lineRule="exact"/>
              <w:ind w:firstLine="480" w:firstLineChars="200"/>
              <w:rPr>
                <w:rFonts w:ascii="Times New Roman" w:hAnsi="Times New Roman" w:cs="Times New Roman"/>
                <w:sz w:val="24"/>
              </w:rPr>
            </w:pPr>
            <w:r>
              <w:rPr>
                <w:rFonts w:ascii="Times New Roman" w:hAnsi="Times New Roman" w:cs="Times New Roman"/>
                <w:sz w:val="24"/>
              </w:rPr>
              <w:t xml:space="preserve">      q——暴雨强度（L/s·公顷）</w:t>
            </w:r>
          </w:p>
          <w:p>
            <w:pPr>
              <w:spacing w:line="520" w:lineRule="exact"/>
              <w:ind w:firstLine="480" w:firstLineChars="200"/>
              <w:rPr>
                <w:rFonts w:ascii="Times New Roman" w:hAnsi="Times New Roman" w:cs="Times New Roman"/>
                <w:sz w:val="24"/>
              </w:rPr>
            </w:pPr>
            <w:r>
              <w:rPr>
                <w:rFonts w:ascii="Times New Roman" w:hAnsi="Times New Roman" w:cs="Times New Roman"/>
                <w:sz w:val="24"/>
              </w:rPr>
              <w:t xml:space="preserve">      φ——径流系数（取0.</w:t>
            </w:r>
            <w:r>
              <w:rPr>
                <w:rFonts w:hint="eastAsia" w:ascii="Times New Roman" w:hAnsi="Times New Roman" w:cs="Times New Roman"/>
                <w:sz w:val="24"/>
                <w:lang w:val="en-US" w:eastAsia="zh-CN"/>
              </w:rPr>
              <w:t>65</w:t>
            </w:r>
            <w:r>
              <w:rPr>
                <w:rFonts w:ascii="Times New Roman" w:hAnsi="Times New Roman" w:cs="Times New Roman"/>
                <w:sz w:val="24"/>
              </w:rPr>
              <w:t>）</w:t>
            </w:r>
          </w:p>
          <w:p>
            <w:pPr>
              <w:spacing w:line="520" w:lineRule="exact"/>
              <w:ind w:firstLine="480" w:firstLineChars="200"/>
              <w:rPr>
                <w:rFonts w:ascii="Times New Roman" w:hAnsi="Times New Roman" w:cs="Times New Roman"/>
                <w:sz w:val="24"/>
              </w:rPr>
            </w:pPr>
            <w:r>
              <w:rPr>
                <w:rFonts w:ascii="Times New Roman" w:hAnsi="Times New Roman" w:cs="Times New Roman"/>
                <w:sz w:val="24"/>
              </w:rPr>
              <w:t xml:space="preserve">       f——汇水面积（</w:t>
            </w:r>
            <w:r>
              <w:rPr>
                <w:rFonts w:hint="eastAsia" w:ascii="Times New Roman" w:hAnsi="Times New Roman" w:cs="Times New Roman"/>
                <w:sz w:val="24"/>
              </w:rPr>
              <w:t>5927平方米</w:t>
            </w:r>
            <w:r>
              <w:rPr>
                <w:rFonts w:ascii="Times New Roman" w:hAnsi="Times New Roman" w:cs="Times New Roman"/>
                <w:sz w:val="24"/>
              </w:rPr>
              <w:t>）</w:t>
            </w:r>
          </w:p>
          <w:p>
            <w:pPr>
              <w:spacing w:line="520" w:lineRule="exact"/>
              <w:ind w:firstLine="1320" w:firstLineChars="550"/>
              <w:rPr>
                <w:rFonts w:ascii="Times New Roman" w:hAnsi="Times New Roman" w:cs="Times New Roman"/>
                <w:sz w:val="24"/>
              </w:rPr>
            </w:pPr>
            <w:r>
              <w:rPr>
                <w:rFonts w:ascii="Times New Roman" w:hAnsi="Times New Roman" w:cs="Times New Roman"/>
                <w:sz w:val="24"/>
              </w:rPr>
              <w:t>T——重现期（2年）</w:t>
            </w:r>
          </w:p>
          <w:p>
            <w:pPr>
              <w:spacing w:line="520" w:lineRule="exact"/>
              <w:ind w:firstLine="480" w:firstLineChars="200"/>
              <w:rPr>
                <w:rFonts w:ascii="Times New Roman" w:hAnsi="Times New Roman" w:cs="Times New Roman"/>
                <w:sz w:val="24"/>
              </w:rPr>
            </w:pPr>
            <w:r>
              <w:rPr>
                <w:rFonts w:ascii="Times New Roman" w:hAnsi="Times New Roman" w:cs="Times New Roman"/>
                <w:sz w:val="24"/>
              </w:rPr>
              <w:t xml:space="preserve">       t——收集时间（</w:t>
            </w:r>
            <w:r>
              <w:rPr>
                <w:rFonts w:hint="eastAsia" w:ascii="Times New Roman" w:hAnsi="Times New Roman" w:cs="Times New Roman"/>
                <w:sz w:val="24"/>
                <w:lang w:val="en-US" w:eastAsia="zh-CN"/>
              </w:rPr>
              <w:t>2</w:t>
            </w:r>
            <w:r>
              <w:rPr>
                <w:rFonts w:ascii="Times New Roman" w:hAnsi="Times New Roman" w:cs="Times New Roman"/>
                <w:sz w:val="24"/>
              </w:rPr>
              <w:t>0分钟）</w:t>
            </w:r>
          </w:p>
          <w:p>
            <w:pPr>
              <w:spacing w:line="480" w:lineRule="exact"/>
              <w:ind w:firstLine="480" w:firstLineChars="200"/>
              <w:rPr>
                <w:rFonts w:ascii="Times New Roman" w:hAnsi="Times New Roman" w:cs="Times New Roman"/>
                <w:b/>
                <w:bCs/>
                <w:sz w:val="24"/>
                <w:szCs w:val="24"/>
              </w:rPr>
            </w:pPr>
            <w:r>
              <w:rPr>
                <w:rFonts w:ascii="Times New Roman" w:hAnsi="Times New Roman" w:cs="Times New Roman"/>
                <w:sz w:val="24"/>
              </w:rPr>
              <w:t>计算q=237.19L/s.ha</w:t>
            </w:r>
            <w:r>
              <w:rPr>
                <w:rFonts w:hint="eastAsia" w:ascii="Times New Roman" w:hAnsi="Times New Roman" w:cs="Times New Roman"/>
                <w:sz w:val="24"/>
              </w:rPr>
              <w:t>，</w:t>
            </w:r>
            <w:r>
              <w:rPr>
                <w:rFonts w:ascii="Times New Roman" w:hAnsi="Times New Roman" w:cs="Times New Roman"/>
                <w:sz w:val="24"/>
              </w:rPr>
              <w:t>结果</w:t>
            </w:r>
            <w:r>
              <w:rPr>
                <w:rFonts w:hint="eastAsia" w:ascii="Times New Roman" w:hAnsi="Times New Roman" w:cs="Times New Roman"/>
                <w:sz w:val="24"/>
              </w:rPr>
              <w:t>Q=</w:t>
            </w:r>
            <w:r>
              <w:rPr>
                <w:rFonts w:hint="eastAsia" w:ascii="Times New Roman" w:hAnsi="Times New Roman" w:cs="Times New Roman"/>
                <w:sz w:val="24"/>
                <w:lang w:val="en-US" w:eastAsia="zh-CN"/>
              </w:rPr>
              <w:t>182.7</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，工业场地设置初期雨水收集沉淀池容积为</w:t>
            </w:r>
            <w:r>
              <w:rPr>
                <w:rFonts w:hint="eastAsia" w:ascii="Times New Roman" w:hAnsi="Times New Roman" w:cs="Times New Roman"/>
                <w:sz w:val="24"/>
                <w:lang w:val="en-US" w:eastAsia="zh-CN"/>
              </w:rPr>
              <w:t>200</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w:t>
            </w:r>
            <w:r>
              <w:rPr>
                <w:rFonts w:hint="eastAsia" w:ascii="Times New Roman" w:hAnsi="Times New Roman" w:cs="Times New Roman"/>
                <w:sz w:val="24"/>
              </w:rPr>
              <w:t>10</w:t>
            </w:r>
            <w:r>
              <w:rPr>
                <w:rFonts w:ascii="Times New Roman" w:hAnsi="Times New Roman" w:cs="Times New Roman"/>
                <w:sz w:val="24"/>
              </w:rPr>
              <w:t>*</w:t>
            </w:r>
            <w:r>
              <w:rPr>
                <w:rFonts w:hint="eastAsia" w:ascii="Times New Roman" w:hAnsi="Times New Roman" w:cs="Times New Roman"/>
                <w:sz w:val="24"/>
              </w:rPr>
              <w:t>10</w:t>
            </w:r>
            <w:r>
              <w:rPr>
                <w:rFonts w:ascii="Times New Roman" w:hAnsi="Times New Roman" w:cs="Times New Roman"/>
                <w:sz w:val="24"/>
              </w:rPr>
              <w:t>*2m）。雨水收集池用于收集</w:t>
            </w:r>
            <w:r>
              <w:rPr>
                <w:rFonts w:ascii="Times New Roman" w:hAnsi="Times New Roman" w:cs="Times New Roman"/>
                <w:color w:val="000000" w:themeColor="text1"/>
                <w:sz w:val="24"/>
              </w:rPr>
              <w:t>厂区的前</w:t>
            </w:r>
            <w:r>
              <w:rPr>
                <w:rFonts w:hint="eastAsia" w:ascii="Times New Roman" w:hAnsi="Times New Roman" w:cs="Times New Roman"/>
                <w:color w:val="000000" w:themeColor="text1"/>
                <w:sz w:val="24"/>
                <w:lang w:val="en-US" w:eastAsia="zh-CN"/>
              </w:rPr>
              <w:t>20</w:t>
            </w:r>
            <w:r>
              <w:rPr>
                <w:rFonts w:ascii="Times New Roman" w:hAnsi="Times New Roman" w:cs="Times New Roman"/>
                <w:color w:val="000000" w:themeColor="text1"/>
                <w:sz w:val="24"/>
              </w:rPr>
              <w:t>分钟的雨水，经沉</w:t>
            </w:r>
            <w:r>
              <w:rPr>
                <w:rFonts w:ascii="Times New Roman" w:hAnsi="Times New Roman" w:cs="Times New Roman"/>
                <w:sz w:val="24"/>
              </w:rPr>
              <w:t>淀后部分蒸发损耗部分用于</w:t>
            </w:r>
            <w:r>
              <w:rPr>
                <w:rFonts w:hint="eastAsia" w:ascii="Times New Roman" w:hAnsi="Times New Roman" w:cs="Times New Roman"/>
                <w:sz w:val="24"/>
              </w:rPr>
              <w:t>道路洒水</w:t>
            </w:r>
            <w:r>
              <w:rPr>
                <w:rFonts w:ascii="Times New Roman" w:hAnsi="Times New Roman" w:cs="Times New Roman"/>
                <w:sz w:val="24"/>
              </w:rPr>
              <w:t>。</w:t>
            </w:r>
          </w:p>
          <w:p>
            <w:pPr>
              <w:spacing w:line="48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2.2地表水环境评价等级</w:t>
            </w:r>
          </w:p>
          <w:p>
            <w:pPr>
              <w:spacing w:line="480" w:lineRule="exact"/>
              <w:ind w:firstLine="480" w:firstLineChars="200"/>
              <w:rPr>
                <w:rFonts w:ascii="Times New Roman" w:hAnsi="Times New Roman" w:cs="Times New Roman"/>
                <w:color w:val="000000" w:themeColor="text1"/>
              </w:rPr>
            </w:pPr>
            <w:r>
              <w:rPr>
                <w:rFonts w:ascii="Times New Roman" w:hAnsi="Times New Roman" w:cs="Times New Roman"/>
                <w:bCs/>
                <w:sz w:val="24"/>
                <w:szCs w:val="24"/>
              </w:rPr>
              <w:t>根据《环境影响评价技术导则 地表水环境》（HJ2.3-2018），本项目生产工艺中有废水产生，生产废水</w:t>
            </w:r>
            <w:r>
              <w:rPr>
                <w:rFonts w:hint="eastAsia" w:ascii="Times New Roman" w:hAnsi="Times New Roman" w:cs="Times New Roman"/>
                <w:bCs/>
                <w:sz w:val="24"/>
                <w:szCs w:val="24"/>
              </w:rPr>
              <w:t>循环</w:t>
            </w:r>
            <w:r>
              <w:rPr>
                <w:rFonts w:ascii="Times New Roman" w:hAnsi="Times New Roman" w:cs="Times New Roman"/>
                <w:bCs/>
                <w:sz w:val="24"/>
                <w:szCs w:val="24"/>
              </w:rPr>
              <w:t>利用，不外排到外环境，本项目地表水评价等级为三级B。</w:t>
            </w:r>
          </w:p>
          <w:p>
            <w:pPr>
              <w:spacing w:line="480" w:lineRule="exact"/>
              <w:ind w:firstLine="482" w:firstLineChars="200"/>
              <w:outlineLvl w:val="0"/>
              <w:rPr>
                <w:rFonts w:ascii="Times New Roman" w:hAnsi="Times New Roman" w:cs="Times New Roman"/>
                <w:b/>
                <w:sz w:val="24"/>
                <w:szCs w:val="24"/>
              </w:rPr>
            </w:pPr>
            <w:r>
              <w:rPr>
                <w:rFonts w:ascii="Times New Roman" w:hAnsi="Times New Roman" w:cs="Times New Roman"/>
                <w:b/>
                <w:sz w:val="24"/>
                <w:szCs w:val="24"/>
              </w:rPr>
              <w:t>2.3地表水环境影响评价查表</w:t>
            </w:r>
          </w:p>
          <w:p>
            <w:pPr>
              <w:spacing w:line="480" w:lineRule="exact"/>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rPr>
              <w:t>13</w:t>
            </w:r>
            <w:r>
              <w:rPr>
                <w:rFonts w:ascii="Times New Roman" w:hAnsi="Times New Roman" w:cs="Times New Roman"/>
                <w:b/>
                <w:sz w:val="24"/>
                <w:szCs w:val="24"/>
              </w:rPr>
              <w:t>地表水环境影响评价自查表</w:t>
            </w:r>
          </w:p>
          <w:tbl>
            <w:tblPr>
              <w:tblStyle w:val="4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1575"/>
              <w:gridCol w:w="1212"/>
              <w:gridCol w:w="415"/>
              <w:gridCol w:w="732"/>
              <w:gridCol w:w="371"/>
              <w:gridCol w:w="968"/>
              <w:gridCol w:w="224"/>
              <w:gridCol w:w="796"/>
              <w:gridCol w:w="565"/>
              <w:gridCol w:w="67"/>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工作内容</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eastAsia="宋体" w:cs="Times New Roman"/>
                      <w:sz w:val="18"/>
                      <w:szCs w:val="18"/>
                    </w:rPr>
                  </w:pPr>
                  <w:r>
                    <w:rPr>
                      <w:rFonts w:ascii="Times New Roman" w:hAnsi="Times New Roman" w:cs="Times New Roman"/>
                      <w:sz w:val="18"/>
                      <w:szCs w:val="18"/>
                    </w:rPr>
                    <w:t>影</w:t>
                  </w:r>
                </w:p>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响</w:t>
                  </w:r>
                </w:p>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识</w:t>
                  </w:r>
                </w:p>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别</w:t>
                  </w: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影响类型</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水污染影响型</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eq \o\ac(□,</w:instrText>
                  </w:r>
                  <w:r>
                    <w:rPr>
                      <w:rFonts w:ascii="Times New Roman" w:hAnsi="Times New Roman" w:cs="Times New Roman"/>
                      <w:position w:val="1"/>
                      <w:sz w:val="18"/>
                      <w:szCs w:val="18"/>
                    </w:rPr>
                    <w:instrText xml:space="preserve">√</w:instrText>
                  </w:r>
                  <w:r>
                    <w:rPr>
                      <w:rFonts w:ascii="Times New Roman" w:hAnsi="Times New Roman" w:cs="Times New Roman"/>
                      <w:sz w:val="18"/>
                      <w:szCs w:val="18"/>
                    </w:rPr>
                    <w:instrText xml:space="preserve">)</w:instrText>
                  </w:r>
                  <w:r>
                    <w:rPr>
                      <w:rFonts w:ascii="Times New Roman" w:hAnsi="Times New Roman" w:cs="Times New Roman"/>
                      <w:sz w:val="18"/>
                      <w:szCs w:val="18"/>
                    </w:rPr>
                    <w:fldChar w:fldCharType="end"/>
                  </w:r>
                  <w:r>
                    <w:rPr>
                      <w:rFonts w:ascii="Times New Roman" w:hAnsi="Times New Roman" w:cs="Times New Roman"/>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水环境保护目标</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饮用水水源保护□；饮用水取水</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eq \o\ac(□,</w:instrText>
                  </w:r>
                  <w:r>
                    <w:rPr>
                      <w:rFonts w:ascii="Times New Roman" w:hAnsi="Times New Roman" w:cs="Times New Roman"/>
                      <w:position w:val="1"/>
                      <w:sz w:val="18"/>
                      <w:szCs w:val="18"/>
                    </w:rPr>
                    <w:instrText xml:space="preserve">√</w:instrText>
                  </w:r>
                  <w:r>
                    <w:rPr>
                      <w:rFonts w:ascii="Times New Roman" w:hAnsi="Times New Roman" w:cs="Times New Roman"/>
                      <w:sz w:val="18"/>
                      <w:szCs w:val="18"/>
                    </w:rPr>
                    <w:instrText xml:space="preserve">)</w:instrText>
                  </w:r>
                  <w:r>
                    <w:rPr>
                      <w:rFonts w:ascii="Times New Roman" w:hAnsi="Times New Roman" w:cs="Times New Roman"/>
                      <w:sz w:val="18"/>
                      <w:szCs w:val="18"/>
                    </w:rPr>
                    <w:fldChar w:fldCharType="end"/>
                  </w:r>
                  <w:r>
                    <w:rPr>
                      <w:rFonts w:ascii="Times New Roman" w:hAnsi="Times New Roman" w:cs="Times New Roman"/>
                      <w:sz w:val="18"/>
                      <w:szCs w:val="18"/>
                    </w:rPr>
                    <w:t>；涉水的自然保护区□；重要湿地□；</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重点保护与珍稀水生生物的栖息地□；重要水生生物的自然产卵场及索饵场、越冬场和洄游通道、天然渔场等渔业水体□；涉水的风景名胜区□；其他□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影响途径</w:t>
                  </w: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水污染影响型</w:t>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直接排放□；间接排放□；其他</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eq \o\ac(□,</w:instrText>
                  </w:r>
                  <w:r>
                    <w:rPr>
                      <w:rFonts w:ascii="Times New Roman" w:hAnsi="Times New Roman" w:cs="Times New Roman"/>
                      <w:position w:val="1"/>
                      <w:sz w:val="18"/>
                      <w:szCs w:val="18"/>
                    </w:rPr>
                    <w:instrText xml:space="preserve">√</w:instrText>
                  </w:r>
                  <w:r>
                    <w:rPr>
                      <w:rFonts w:ascii="Times New Roman" w:hAnsi="Times New Roman" w:cs="Times New Roman"/>
                      <w:sz w:val="18"/>
                      <w:szCs w:val="18"/>
                    </w:rPr>
                    <w:instrText xml:space="preserve">)</w:instrText>
                  </w:r>
                  <w:r>
                    <w:rPr>
                      <w:rFonts w:ascii="Times New Roman" w:hAnsi="Times New Roman" w:cs="Times New Roman"/>
                      <w:sz w:val="18"/>
                      <w:szCs w:val="18"/>
                    </w:rPr>
                    <w:fldChar w:fldCharType="end"/>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水温□；径流□；水域面积□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72"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评价等级</w:t>
                  </w: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水污染影响型</w:t>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一级□；二级□；三级A□；三级B</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eq \o\ac(□,</w:instrText>
                  </w:r>
                  <w:r>
                    <w:rPr>
                      <w:rFonts w:ascii="Times New Roman" w:hAnsi="Times New Roman" w:cs="Times New Roman"/>
                      <w:position w:val="1"/>
                      <w:sz w:val="18"/>
                      <w:szCs w:val="18"/>
                    </w:rPr>
                    <w:instrText xml:space="preserve">√</w:instrText>
                  </w:r>
                  <w:r>
                    <w:rPr>
                      <w:rFonts w:ascii="Times New Roman" w:hAnsi="Times New Roman" w:cs="Times New Roman"/>
                      <w:sz w:val="18"/>
                      <w:szCs w:val="18"/>
                    </w:rPr>
                    <w:instrText xml:space="preserve">)</w:instrText>
                  </w:r>
                  <w:r>
                    <w:rPr>
                      <w:rFonts w:ascii="Times New Roman" w:hAnsi="Times New Roman" w:cs="Times New Roman"/>
                      <w:sz w:val="18"/>
                      <w:szCs w:val="18"/>
                    </w:rPr>
                    <w:fldChar w:fldCharType="end"/>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现状调查</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区域污染源</w:t>
                  </w: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调查项目</w:t>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62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已建□；在建□；拟建□；其他</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eq \o\ac(□,</w:instrText>
                  </w:r>
                  <w:r>
                    <w:rPr>
                      <w:rFonts w:ascii="Times New Roman" w:hAnsi="Times New Roman" w:cs="Times New Roman"/>
                      <w:position w:val="1"/>
                      <w:sz w:val="18"/>
                      <w:szCs w:val="18"/>
                    </w:rPr>
                    <w:instrText xml:space="preserve">√</w:instrText>
                  </w:r>
                  <w:r>
                    <w:rPr>
                      <w:rFonts w:ascii="Times New Roman" w:hAnsi="Times New Roman" w:cs="Times New Roman"/>
                      <w:sz w:val="18"/>
                      <w:szCs w:val="18"/>
                    </w:rPr>
                    <w:instrText xml:space="preserve">)</w:instrText>
                  </w:r>
                  <w:r>
                    <w:rPr>
                      <w:rFonts w:ascii="Times New Roman" w:hAnsi="Times New Roman" w:cs="Times New Roman"/>
                      <w:sz w:val="18"/>
                      <w:szCs w:val="18"/>
                    </w:rPr>
                    <w:fldChar w:fldCharType="end"/>
                  </w:r>
                </w:p>
              </w:tc>
              <w:tc>
                <w:tcPr>
                  <w:tcW w:w="207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拟替代的污染源□</w:t>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排污许可证□；环评□；环保验收□；既有实测□；现场监测□；入河排放口数据□；其他□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受影响水体水环境质量</w:t>
                  </w: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调查时期</w:t>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丰水期□；平水期□；枯水期□；冰封期□</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春季□；夏季□；秋季□；冬季□</w:t>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生态环境保护主管部门□；补充监测□；其他□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区域水资源开发利用状况</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未开发□；开发量   40%以下□；开发量   40%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水文情势调查</w:t>
                  </w: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调查时期</w:t>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p>
              </w:tc>
              <w:tc>
                <w:tcPr>
                  <w:tcW w:w="3698" w:type="dxa"/>
                  <w:gridSpan w:val="5"/>
                  <w:tcBorders>
                    <w:top w:val="single" w:color="auto" w:sz="4" w:space="0"/>
                    <w:left w:val="single" w:color="auto" w:sz="4" w:space="0"/>
                    <w:bottom w:val="single" w:color="auto" w:sz="4" w:space="0"/>
                    <w:right w:val="single" w:color="auto" w:sz="4" w:space="0"/>
                  </w:tcBorders>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丰水期□；平水期□；枯水期□；冰封期□</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春季□；夏季□；秋季□；冬季□</w:t>
                  </w:r>
                </w:p>
              </w:tc>
              <w:tc>
                <w:tcPr>
                  <w:tcW w:w="33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水行政主管部门□；补充监测□；其他□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补充监测</w:t>
                  </w: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监测时期</w:t>
                  </w:r>
                </w:p>
              </w:tc>
              <w:tc>
                <w:tcPr>
                  <w:tcW w:w="158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监测因子</w:t>
                  </w:r>
                </w:p>
              </w:tc>
              <w:tc>
                <w:tcPr>
                  <w:tcW w:w="180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369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丰水期□；平水期□；枯水期□；冰封期□</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春季□；夏季□；秋季□；冬季□</w:t>
                  </w:r>
                </w:p>
              </w:tc>
              <w:tc>
                <w:tcPr>
                  <w:tcW w:w="158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80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监测断面或点位个数（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现状评价</w:t>
                  </w: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评价范围</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河流：长度（ ）km；湖库、河口及近岸海域：面积（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评价因子</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评价标准</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河流、湖库、河口：Ⅰ类□；Ⅱ类□；Ⅲ类□；Ⅳ类</w:t>
                  </w:r>
                  <w:r>
                    <w:rPr>
                      <w:rFonts w:ascii="Times New Roman" w:hAnsi="Times New Roman" w:cs="Times New Roman"/>
                      <w:sz w:val="18"/>
                      <w:szCs w:val="18"/>
                    </w:rPr>
                    <w:sym w:font="Wingdings 2" w:char="0052"/>
                  </w:r>
                  <w:r>
                    <w:rPr>
                      <w:rFonts w:ascii="Times New Roman" w:hAnsi="Times New Roman" w:cs="Times New Roman"/>
                      <w:sz w:val="18"/>
                      <w:szCs w:val="18"/>
                    </w:rPr>
                    <w:t>；Ⅴ 类</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eq \o\ac(□)</w:instrText>
                  </w:r>
                  <w:r>
                    <w:rPr>
                      <w:rFonts w:ascii="Times New Roman" w:hAnsi="Times New Roman" w:cs="Times New Roman"/>
                      <w:sz w:val="18"/>
                      <w:szCs w:val="18"/>
                    </w:rPr>
                    <w:fldChar w:fldCharType="end"/>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近岸海域：第一类□；第二类□；第三类□；第四类□</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规划年评价标准（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评价时期</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丰水期□；平水期□；枯水期□；冰封期□</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春季□；夏季□；秋季□；冬季□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评价结论</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水环境功能区或水功能区、近岸海域环境功能区水质达标状况□：达标□；不达标□</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水环境控制单元或断面水质达标状况□：达标□；不达标□</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水环境保护目标质量状况□：达标□；不达标□</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对照断面、控制断面等代表性断面的水质状况□：达标□；不达标□</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底泥污染评价□</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水资源与开发利用程度及其水文情势评价□</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水环境质量回顾评价□</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流域（区域）水资源（包括水能资源）与开发利用总体状况、生态流量管理要求与现状满足程度、建设项目占用水域空间的水流状况与河湖演变状况□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restart"/>
                  <w:tcBorders>
                    <w:top w:val="single" w:color="auto" w:sz="4" w:space="0"/>
                    <w:left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影响预测</w:t>
                  </w: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预测范围</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河流：长度（ ）km；湖库、河口及近岸海域：面积（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预测因子</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预测时期</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丰水期□；平水期□；枯水期□；冰封期□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left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春季□；夏季□；秋季□；冬季□</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设计水文条件□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left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预测情景</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建设期□；生产运行期□；服务期满后□</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正常工况□；非正常工况□</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污染控制和减缓措施方案□</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区（流）域环境质量改善目标要求情景□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预测方法</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数值解□：解析解□；其他□</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导则推荐模式□：其他□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影响评价</w:t>
                  </w: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水污染控制和水环境影响减缓措施有效性评价</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区（流）域水环境质量改善目标□；替代削减源□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水环境影响评价</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排放口混合区外满足水环境管理要求□</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水环境功能区或水功能区、近岸海域环境功能区水质达标□</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满足水环境保护目标水域水环境质量要求□</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水环境控制单元或断面水质达标□</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满足重点水污染物排放总量控制指标要求，重点行业建设项目，主要污染物排放满足等量或减量替代要求□</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满足区（流）域水环境质量改善目标要求□</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水文要素影响型建设项目同时应包括水文情势变化评价、主要水文特征值影响评价、生态流量符合性评价□</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对于新设或调整入河（湖库、近岸海域）排放口的建设项目，应包括排放口设置的环境合理性评价□</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满足生态保护红线、水环境质量底线、资源利用上线和环境准入清单管理要求□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污染源排放量核算</w:t>
                  </w:r>
                </w:p>
              </w:tc>
              <w:tc>
                <w:tcPr>
                  <w:tcW w:w="235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污染物名称</w:t>
                  </w:r>
                </w:p>
              </w:tc>
              <w:tc>
                <w:tcPr>
                  <w:tcW w:w="23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排放量/（t/a）</w:t>
                  </w:r>
                </w:p>
              </w:tc>
              <w:tc>
                <w:tcPr>
                  <w:tcW w:w="23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235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23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23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替代源排放情况</w:t>
                  </w:r>
                </w:p>
              </w:tc>
              <w:tc>
                <w:tcPr>
                  <w:tcW w:w="12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污染源名称</w:t>
                  </w:r>
                </w:p>
              </w:tc>
              <w:tc>
                <w:tcPr>
                  <w:tcW w:w="151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排污许可证编号</w:t>
                  </w:r>
                </w:p>
              </w:tc>
              <w:tc>
                <w:tcPr>
                  <w:tcW w:w="119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污染物名称</w:t>
                  </w:r>
                </w:p>
              </w:tc>
              <w:tc>
                <w:tcPr>
                  <w:tcW w:w="142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排放量/（t/a）</w:t>
                  </w:r>
                </w:p>
              </w:tc>
              <w:tc>
                <w:tcPr>
                  <w:tcW w:w="17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51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19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42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7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生态流量确定</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eastAsia="宋体" w:cs="Times New Roman"/>
                      <w:sz w:val="18"/>
                      <w:szCs w:val="18"/>
                    </w:rPr>
                  </w:pPr>
                  <w:r>
                    <w:rPr>
                      <w:rFonts w:ascii="Times New Roman" w:hAnsi="Times New Roman" w:cs="Times New Roman"/>
                      <w:sz w:val="18"/>
                      <w:szCs w:val="18"/>
                    </w:rPr>
                    <w:t>生态流量：一般水期（）m</w:t>
                  </w:r>
                  <w:r>
                    <w:rPr>
                      <w:rFonts w:ascii="Times New Roman" w:hAnsi="Times New Roman" w:cs="Times New Roman"/>
                      <w:sz w:val="18"/>
                      <w:szCs w:val="18"/>
                      <w:vertAlign w:val="superscript"/>
                    </w:rPr>
                    <w:t>3</w:t>
                  </w:r>
                  <w:r>
                    <w:rPr>
                      <w:rFonts w:ascii="Times New Roman" w:hAnsi="Times New Roman" w:cs="Times New Roman"/>
                      <w:sz w:val="18"/>
                      <w:szCs w:val="18"/>
                    </w:rPr>
                    <w:t>/s；鱼类繁殖期（）m</w:t>
                  </w:r>
                  <w:r>
                    <w:rPr>
                      <w:rFonts w:ascii="Times New Roman" w:hAnsi="Times New Roman" w:cs="Times New Roman"/>
                      <w:sz w:val="18"/>
                      <w:szCs w:val="18"/>
                      <w:vertAlign w:val="superscript"/>
                    </w:rPr>
                    <w:t>3</w:t>
                  </w:r>
                  <w:r>
                    <w:rPr>
                      <w:rFonts w:ascii="Times New Roman" w:hAnsi="Times New Roman" w:cs="Times New Roman"/>
                      <w:sz w:val="18"/>
                      <w:szCs w:val="18"/>
                    </w:rPr>
                    <w:t>/s；其他m</w:t>
                  </w:r>
                  <w:r>
                    <w:rPr>
                      <w:rFonts w:ascii="Times New Roman" w:hAnsi="Times New Roman" w:cs="Times New Roman"/>
                      <w:sz w:val="18"/>
                      <w:szCs w:val="18"/>
                      <w:vertAlign w:val="superscript"/>
                    </w:rPr>
                    <w:t>3</w:t>
                  </w:r>
                  <w:r>
                    <w:rPr>
                      <w:rFonts w:ascii="Times New Roman" w:hAnsi="Times New Roman" w:cs="Times New Roman"/>
                      <w:sz w:val="18"/>
                      <w:szCs w:val="18"/>
                    </w:rPr>
                    <w:t>/s；</w:t>
                  </w:r>
                </w:p>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生态水位：一般水期（）m</w:t>
                  </w:r>
                  <w:r>
                    <w:rPr>
                      <w:rFonts w:ascii="Times New Roman" w:hAnsi="Times New Roman" w:cs="Times New Roman"/>
                      <w:sz w:val="18"/>
                      <w:szCs w:val="18"/>
                      <w:vertAlign w:val="superscript"/>
                    </w:rPr>
                    <w:t>3</w:t>
                  </w:r>
                  <w:r>
                    <w:rPr>
                      <w:rFonts w:ascii="Times New Roman" w:hAnsi="Times New Roman" w:cs="Times New Roman"/>
                      <w:sz w:val="18"/>
                      <w:szCs w:val="18"/>
                    </w:rPr>
                    <w:t>；鱼类繁殖期（）m；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防治措施</w:t>
                  </w: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环保措施</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污水处理设施□；水文减缓设施□；生态流量保障设施□；区域削减□；依托其他工程措施□；其他</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eq \o\ac(□,√)</w:instrText>
                  </w:r>
                  <w:r>
                    <w:rPr>
                      <w:rFonts w:ascii="Times New Roman" w:hAnsi="Times New Roman" w:cs="Times New Roman"/>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监测计划</w:t>
                  </w:r>
                </w:p>
              </w:tc>
              <w:tc>
                <w:tcPr>
                  <w:tcW w:w="235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p>
              </w:tc>
              <w:tc>
                <w:tcPr>
                  <w:tcW w:w="23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环境质量</w:t>
                  </w:r>
                </w:p>
              </w:tc>
              <w:tc>
                <w:tcPr>
                  <w:tcW w:w="23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235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监测方式</w:t>
                  </w:r>
                </w:p>
              </w:tc>
              <w:tc>
                <w:tcPr>
                  <w:tcW w:w="23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手动□；自动□；无监测□</w:t>
                  </w:r>
                </w:p>
              </w:tc>
              <w:tc>
                <w:tcPr>
                  <w:tcW w:w="23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手动□；自动□；无监测□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235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监测点位</w:t>
                  </w:r>
                </w:p>
              </w:tc>
              <w:tc>
                <w:tcPr>
                  <w:tcW w:w="23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23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235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监测因子</w:t>
                  </w:r>
                </w:p>
              </w:tc>
              <w:tc>
                <w:tcPr>
                  <w:tcW w:w="23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23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cs="Times New Roman"/>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污染物排放清单</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ascii="Times New Roman" w:hAnsi="Times New Roman" w:cs="Times New Roman"/>
                      <w:sz w:val="18"/>
                      <w:szCs w:val="18"/>
                    </w:rPr>
                  </w:pPr>
                  <w:r>
                    <w:rPr>
                      <w:rFonts w:ascii="Times New Roman" w:hAnsi="Times New Roman" w:cs="Times New Roman"/>
                      <w:sz w:val="18"/>
                      <w:szCs w:val="18"/>
                    </w:rPr>
                    <w:t>评价结论</w:t>
                  </w:r>
                </w:p>
              </w:tc>
              <w:tc>
                <w:tcPr>
                  <w:tcW w:w="7088"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可以接受</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eq \o\ac(□,</w:instrText>
                  </w:r>
                  <w:r>
                    <w:rPr>
                      <w:rFonts w:ascii="Times New Roman" w:hAnsi="Times New Roman" w:cs="Times New Roman"/>
                      <w:position w:val="1"/>
                      <w:sz w:val="18"/>
                      <w:szCs w:val="18"/>
                    </w:rPr>
                    <w:instrText xml:space="preserve">√</w:instrText>
                  </w:r>
                  <w:r>
                    <w:rPr>
                      <w:rFonts w:ascii="Times New Roman" w:hAnsi="Times New Roman" w:cs="Times New Roman"/>
                      <w:sz w:val="18"/>
                      <w:szCs w:val="18"/>
                    </w:rPr>
                    <w:instrText xml:space="preserve">)</w:instrText>
                  </w:r>
                  <w:r>
                    <w:rPr>
                      <w:rFonts w:ascii="Times New Roman" w:hAnsi="Times New Roman" w:cs="Times New Roman"/>
                      <w:sz w:val="18"/>
                      <w:szCs w:val="18"/>
                    </w:rPr>
                    <w:fldChar w:fldCharType="end"/>
                  </w:r>
                  <w:r>
                    <w:rPr>
                      <w:rFonts w:ascii="Times New Roman" w:hAnsi="Times New Roman" w:cs="Times New Roman"/>
                      <w:sz w:val="18"/>
                      <w:szCs w:val="18"/>
                    </w:rPr>
                    <w:t>；不可以接受□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60"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rPr>
                      <w:rFonts w:ascii="Times New Roman" w:hAnsi="Times New Roman" w:cs="Times New Roman"/>
                      <w:sz w:val="18"/>
                      <w:szCs w:val="18"/>
                    </w:rPr>
                  </w:pPr>
                  <w:r>
                    <w:rPr>
                      <w:rFonts w:ascii="Times New Roman" w:hAnsi="Times New Roman" w:cs="Times New Roman"/>
                      <w:sz w:val="18"/>
                      <w:szCs w:val="18"/>
                    </w:rPr>
                    <w:t>注：“□”为勾选项，可√；“（  ）”为内容填写项；“备注”为其他补充内容。</w:t>
                  </w:r>
                </w:p>
              </w:tc>
            </w:tr>
          </w:tbl>
          <w:p>
            <w:pPr>
              <w:spacing w:line="48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2.3地下水环境影响分析</w:t>
            </w:r>
          </w:p>
          <w:p>
            <w:pPr>
              <w:spacing w:line="500" w:lineRule="exact"/>
              <w:ind w:firstLine="480" w:firstLineChars="200"/>
              <w:rPr>
                <w:rFonts w:ascii="Times New Roman" w:hAnsi="Times New Roman" w:cs="Times New Roman"/>
                <w:b/>
                <w:color w:val="000000"/>
                <w:sz w:val="24"/>
                <w:szCs w:val="24"/>
              </w:rPr>
            </w:pPr>
            <w:r>
              <w:rPr>
                <w:rFonts w:ascii="Times New Roman" w:hAnsi="Times New Roman" w:cs="Times New Roman"/>
                <w:color w:val="000000"/>
                <w:kern w:val="0"/>
                <w:sz w:val="24"/>
              </w:rPr>
              <w:t>本项目为</w:t>
            </w:r>
            <w:r>
              <w:rPr>
                <w:rFonts w:hint="eastAsia" w:ascii="Times New Roman" w:hAnsi="Times New Roman" w:cs="Times New Roman"/>
                <w:color w:val="000000"/>
                <w:kern w:val="0"/>
                <w:sz w:val="24"/>
              </w:rPr>
              <w:t>石料加工</w:t>
            </w:r>
            <w:r>
              <w:rPr>
                <w:rFonts w:ascii="Times New Roman" w:hAnsi="Times New Roman" w:cs="Times New Roman"/>
                <w:color w:val="000000"/>
                <w:kern w:val="0"/>
                <w:sz w:val="24"/>
              </w:rPr>
              <w:t>项目，根据《环境影响评价技术导则  地下水环境》（HJ610-2016），项目属于Ⅳ类项目，无需进行地下水影响分析。</w:t>
            </w:r>
          </w:p>
          <w:p>
            <w:pPr>
              <w:tabs>
                <w:tab w:val="left" w:pos="5280"/>
              </w:tabs>
              <w:spacing w:before="156" w:beforeLines="50" w:line="500" w:lineRule="exact"/>
              <w:ind w:firstLine="482" w:firstLineChars="200"/>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3、声环境影响分析</w:t>
            </w:r>
          </w:p>
          <w:p>
            <w:pPr>
              <w:snapToGrid w:val="0"/>
              <w:spacing w:before="78" w:beforeLines="25" w:line="500" w:lineRule="exact"/>
              <w:ind w:firstLine="4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3.1噪声声源及源强分析</w:t>
            </w:r>
          </w:p>
          <w:p>
            <w:pPr>
              <w:snapToGrid w:val="0"/>
              <w:spacing w:before="78" w:beforeLines="25" w:line="500" w:lineRule="exact"/>
              <w:ind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本项目主要噪声设备为生产设备、输送设备、除尘风机、泵类、运输车辆等，项目各设备的类比噪声值及安装位置见表7-1</w:t>
            </w:r>
            <w:r>
              <w:rPr>
                <w:rFonts w:hint="eastAsia"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p>
            <w:pPr>
              <w:spacing w:line="500" w:lineRule="exact"/>
              <w:ind w:firstLine="482"/>
              <w:jc w:val="center"/>
              <w:rPr>
                <w:rFonts w:ascii="Times New Roman" w:hAnsi="Times New Roman" w:cs="Times New Roman"/>
                <w:b/>
                <w:kern w:val="10"/>
                <w:szCs w:val="21"/>
              </w:rPr>
            </w:pPr>
            <w:r>
              <w:rPr>
                <w:rFonts w:ascii="Times New Roman" w:hAnsi="Times New Roman" w:cs="Times New Roman"/>
                <w:b/>
                <w:kern w:val="10"/>
                <w:szCs w:val="21"/>
              </w:rPr>
              <w:t>表7-1</w:t>
            </w:r>
            <w:r>
              <w:rPr>
                <w:rFonts w:hint="eastAsia" w:ascii="Times New Roman" w:hAnsi="Times New Roman" w:cs="Times New Roman"/>
                <w:b/>
                <w:kern w:val="10"/>
                <w:szCs w:val="21"/>
              </w:rPr>
              <w:t>4</w:t>
            </w:r>
            <w:r>
              <w:rPr>
                <w:rFonts w:ascii="Times New Roman" w:hAnsi="Times New Roman" w:cs="Times New Roman"/>
                <w:b/>
                <w:kern w:val="10"/>
                <w:szCs w:val="21"/>
              </w:rPr>
              <w:t xml:space="preserve"> 项目主要设备噪声统计表</w:t>
            </w:r>
          </w:p>
          <w:tbl>
            <w:tblPr>
              <w:tblStyle w:val="40"/>
              <w:tblW w:w="90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autofit"/>
              <w:tblCellMar>
                <w:top w:w="0" w:type="dxa"/>
                <w:left w:w="108" w:type="dxa"/>
                <w:bottom w:w="0" w:type="dxa"/>
                <w:right w:w="108" w:type="dxa"/>
              </w:tblCellMar>
            </w:tblPr>
            <w:tblGrid>
              <w:gridCol w:w="460"/>
              <w:gridCol w:w="1679"/>
              <w:gridCol w:w="1277"/>
              <w:gridCol w:w="2038"/>
              <w:gridCol w:w="36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序号</w:t>
                  </w:r>
                </w:p>
              </w:tc>
              <w:tc>
                <w:tcPr>
                  <w:tcW w:w="1679"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设备名称</w:t>
                  </w:r>
                </w:p>
              </w:tc>
              <w:tc>
                <w:tcPr>
                  <w:tcW w:w="1277"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数量</w:t>
                  </w:r>
                  <w:r>
                    <w:rPr>
                      <w:rFonts w:hint="eastAsia" w:ascii="Times New Roman" w:hAnsi="Times New Roman" w:eastAsia="宋体" w:cs="Times New Roman"/>
                      <w:color w:val="000000" w:themeColor="text1"/>
                      <w:szCs w:val="21"/>
                    </w:rPr>
                    <w:t>（台）</w:t>
                  </w:r>
                </w:p>
              </w:tc>
              <w:tc>
                <w:tcPr>
                  <w:tcW w:w="2038"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声压级</w:t>
                  </w:r>
                </w:p>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dB（A）</w:t>
                  </w:r>
                </w:p>
              </w:tc>
              <w:tc>
                <w:tcPr>
                  <w:tcW w:w="360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处置措施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w:t>
                  </w:r>
                </w:p>
              </w:tc>
              <w:tc>
                <w:tcPr>
                  <w:tcW w:w="16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lang w:eastAsia="zh-CN"/>
                    </w:rPr>
                    <w:t>进</w:t>
                  </w:r>
                  <w:r>
                    <w:rPr>
                      <w:rFonts w:hint="eastAsia" w:ascii="Times New Roman" w:hAnsi="Times New Roman" w:eastAsia="宋体" w:cs="Times New Roman"/>
                      <w:bCs/>
                      <w:kern w:val="0"/>
                    </w:rPr>
                    <w:t>料机</w:t>
                  </w:r>
                </w:p>
              </w:tc>
              <w:tc>
                <w:tcPr>
                  <w:tcW w:w="1277"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bCs/>
                      <w:kern w:val="0"/>
                    </w:rPr>
                    <w:t>1</w:t>
                  </w:r>
                </w:p>
              </w:tc>
              <w:tc>
                <w:tcPr>
                  <w:tcW w:w="2038"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90～100</w:t>
                  </w:r>
                </w:p>
              </w:tc>
              <w:tc>
                <w:tcPr>
                  <w:tcW w:w="360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基础减振、隔声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2</w:t>
                  </w:r>
                </w:p>
              </w:tc>
              <w:tc>
                <w:tcPr>
                  <w:tcW w:w="16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rPr>
                    <w:t>颚式破碎机</w:t>
                  </w:r>
                </w:p>
              </w:tc>
              <w:tc>
                <w:tcPr>
                  <w:tcW w:w="1277"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rPr>
                    <w:t>1</w:t>
                  </w:r>
                </w:p>
              </w:tc>
              <w:tc>
                <w:tcPr>
                  <w:tcW w:w="2038"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90～100</w:t>
                  </w:r>
                </w:p>
              </w:tc>
              <w:tc>
                <w:tcPr>
                  <w:tcW w:w="360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基础减振、隔声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3</w:t>
                  </w:r>
                </w:p>
              </w:tc>
              <w:tc>
                <w:tcPr>
                  <w:tcW w:w="16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rPr>
                    <w:t>锤式破碎机</w:t>
                  </w:r>
                </w:p>
              </w:tc>
              <w:tc>
                <w:tcPr>
                  <w:tcW w:w="1277"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rPr>
                    <w:t>1</w:t>
                  </w:r>
                </w:p>
              </w:tc>
              <w:tc>
                <w:tcPr>
                  <w:tcW w:w="2038"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85～90</w:t>
                  </w:r>
                </w:p>
              </w:tc>
              <w:tc>
                <w:tcPr>
                  <w:tcW w:w="360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基础减振、隔声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w:t>
                  </w:r>
                </w:p>
              </w:tc>
              <w:tc>
                <w:tcPr>
                  <w:tcW w:w="16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rPr>
                    <w:t>振动筛</w:t>
                  </w:r>
                </w:p>
              </w:tc>
              <w:tc>
                <w:tcPr>
                  <w:tcW w:w="1277"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bCs/>
                      <w:kern w:val="0"/>
                    </w:rPr>
                    <w:t>1</w:t>
                  </w:r>
                </w:p>
              </w:tc>
              <w:tc>
                <w:tcPr>
                  <w:tcW w:w="2038"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90～100</w:t>
                  </w:r>
                </w:p>
              </w:tc>
              <w:tc>
                <w:tcPr>
                  <w:tcW w:w="360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基础减振、隔声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5</w:t>
                  </w:r>
                </w:p>
              </w:tc>
              <w:tc>
                <w:tcPr>
                  <w:tcW w:w="1679"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bCs/>
                      <w:kern w:val="0"/>
                    </w:rPr>
                    <w:t>皮带输送机</w:t>
                  </w:r>
                </w:p>
              </w:tc>
              <w:tc>
                <w:tcPr>
                  <w:tcW w:w="1277"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rPr>
                    <w:t>1</w:t>
                  </w:r>
                </w:p>
              </w:tc>
              <w:tc>
                <w:tcPr>
                  <w:tcW w:w="2038"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85～90</w:t>
                  </w:r>
                </w:p>
              </w:tc>
              <w:tc>
                <w:tcPr>
                  <w:tcW w:w="3602" w:type="dxa"/>
                  <w:tcBorders>
                    <w:bottom w:val="single" w:color="auto" w:sz="4" w:space="0"/>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基础减振、隔声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6</w:t>
                  </w:r>
                </w:p>
              </w:tc>
              <w:tc>
                <w:tcPr>
                  <w:tcW w:w="1679" w:type="dxa"/>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ascii="Times New Roman" w:hAnsi="Times New Roman" w:eastAsia="宋体" w:cs="Times New Roman"/>
                      <w:bCs/>
                      <w:kern w:val="0"/>
                    </w:rPr>
                    <w:t>地泵</w:t>
                  </w:r>
                </w:p>
              </w:tc>
              <w:tc>
                <w:tcPr>
                  <w:tcW w:w="1277"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ascii="Times New Roman" w:hAnsi="Times New Roman" w:eastAsia="宋体" w:cs="Times New Roman"/>
                      <w:bCs/>
                      <w:kern w:val="0"/>
                    </w:rPr>
                    <w:t>1</w:t>
                  </w:r>
                </w:p>
              </w:tc>
              <w:tc>
                <w:tcPr>
                  <w:tcW w:w="2038" w:type="dxa"/>
                  <w:tcBorders>
                    <w:tl2br w:val="nil"/>
                    <w:tr2bl w:val="nil"/>
                  </w:tcBorders>
                  <w:vAlign w:val="center"/>
                </w:tcPr>
                <w:p>
                  <w:pPr>
                    <w:jc w:val="center"/>
                    <w:rPr>
                      <w:rFonts w:ascii="Times New Roman" w:hAnsi="Times New Roman" w:cs="Times New Roman"/>
                      <w:szCs w:val="21"/>
                    </w:rPr>
                  </w:pPr>
                  <w:r>
                    <w:rPr>
                      <w:rFonts w:ascii="Times New Roman" w:hAnsi="Times New Roman" w:eastAsia="宋体" w:cs="Times New Roman"/>
                      <w:color w:val="000000" w:themeColor="text1"/>
                      <w:szCs w:val="21"/>
                    </w:rPr>
                    <w:t>85～90</w:t>
                  </w:r>
                </w:p>
              </w:tc>
              <w:tc>
                <w:tcPr>
                  <w:tcW w:w="3602" w:type="dxa"/>
                  <w:tcBorders>
                    <w:top w:val="single" w:color="auto" w:sz="4" w:space="0"/>
                    <w:bottom w:val="single" w:color="auto" w:sz="4" w:space="0"/>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基础减振、隔声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7</w:t>
                  </w:r>
                </w:p>
              </w:tc>
              <w:tc>
                <w:tcPr>
                  <w:tcW w:w="1679" w:type="dxa"/>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hint="eastAsia" w:ascii="Times New Roman" w:hAnsi="Times New Roman" w:cs="Times New Roman"/>
                      <w:szCs w:val="21"/>
                    </w:rPr>
                    <w:t>卡车</w:t>
                  </w:r>
                </w:p>
              </w:tc>
              <w:tc>
                <w:tcPr>
                  <w:tcW w:w="1277"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rPr>
                    <w:t>3</w:t>
                  </w:r>
                </w:p>
              </w:tc>
              <w:tc>
                <w:tcPr>
                  <w:tcW w:w="2038"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85～90</w:t>
                  </w:r>
                </w:p>
              </w:tc>
              <w:tc>
                <w:tcPr>
                  <w:tcW w:w="3602" w:type="dxa"/>
                  <w:vMerge w:val="restart"/>
                  <w:tcBorders>
                    <w:top w:val="single" w:color="auto" w:sz="4" w:space="0"/>
                    <w:bottom w:val="single" w:color="auto" w:sz="4" w:space="0"/>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加强车辆运输管理、合理安排运输时间、限速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108" w:type="dxa"/>
                  <w:bottom w:w="0" w:type="dxa"/>
                  <w:right w:w="108" w:type="dxa"/>
                </w:tblCellMar>
              </w:tblPrEx>
              <w:trPr>
                <w:trHeight w:val="397" w:hRule="atLeast"/>
                <w:jc w:val="center"/>
              </w:trPr>
              <w:tc>
                <w:tcPr>
                  <w:tcW w:w="460" w:type="dxa"/>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8</w:t>
                  </w:r>
                </w:p>
              </w:tc>
              <w:tc>
                <w:tcPr>
                  <w:tcW w:w="1679" w:type="dxa"/>
                  <w:tcBorders>
                    <w:tl2br w:val="nil"/>
                    <w:tr2bl w:val="nil"/>
                  </w:tcBorders>
                  <w:vAlign w:val="center"/>
                </w:tcPr>
                <w:p>
                  <w:pPr>
                    <w:widowControl/>
                    <w:adjustRightInd w:val="0"/>
                    <w:snapToGrid w:val="0"/>
                    <w:jc w:val="center"/>
                    <w:textAlignment w:val="center"/>
                    <w:rPr>
                      <w:rFonts w:ascii="Times New Roman" w:hAnsi="Times New Roman" w:cs="Times New Roman"/>
                      <w:szCs w:val="21"/>
                    </w:rPr>
                  </w:pPr>
                  <w:r>
                    <w:rPr>
                      <w:rFonts w:ascii="Times New Roman" w:hAnsi="Times New Roman" w:eastAsia="宋体" w:cs="Times New Roman"/>
                      <w:bCs/>
                      <w:kern w:val="0"/>
                    </w:rPr>
                    <w:t>装载机</w:t>
                  </w:r>
                </w:p>
              </w:tc>
              <w:tc>
                <w:tcPr>
                  <w:tcW w:w="1277" w:type="dxa"/>
                  <w:tcBorders>
                    <w:tl2br w:val="nil"/>
                    <w:tr2bl w:val="nil"/>
                  </w:tcBorders>
                  <w:vAlign w:val="center"/>
                </w:tcPr>
                <w:p>
                  <w:pPr>
                    <w:widowControl/>
                    <w:adjustRightInd w:val="0"/>
                    <w:snapToGrid w:val="0"/>
                    <w:jc w:val="center"/>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bCs/>
                      <w:kern w:val="0"/>
                    </w:rPr>
                    <w:t>/</w:t>
                  </w:r>
                </w:p>
              </w:tc>
              <w:tc>
                <w:tcPr>
                  <w:tcW w:w="2038"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85～90</w:t>
                  </w:r>
                </w:p>
              </w:tc>
              <w:tc>
                <w:tcPr>
                  <w:tcW w:w="3602" w:type="dxa"/>
                  <w:vMerge w:val="continue"/>
                  <w:tcBorders>
                    <w:top w:val="single" w:color="auto" w:sz="4" w:space="0"/>
                    <w:bottom w:val="single" w:color="auto" w:sz="4" w:space="0"/>
                    <w:tl2br w:val="nil"/>
                    <w:tr2bl w:val="nil"/>
                  </w:tcBorders>
                  <w:vAlign w:val="center"/>
                </w:tcPr>
                <w:p>
                  <w:pPr>
                    <w:jc w:val="center"/>
                    <w:rPr>
                      <w:rFonts w:ascii="Times New Roman" w:hAnsi="Times New Roman" w:eastAsia="宋体" w:cs="Times New Roman"/>
                      <w:color w:val="000000" w:themeColor="text1"/>
                      <w:szCs w:val="21"/>
                    </w:rPr>
                  </w:pPr>
                </w:p>
              </w:tc>
            </w:tr>
          </w:tbl>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3.2噪声防治措施</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（1）从声源上降低噪声</w:t>
            </w:r>
          </w:p>
          <w:p>
            <w:pPr>
              <w:spacing w:line="480" w:lineRule="exact"/>
              <w:ind w:firstLine="480" w:firstLineChars="200"/>
              <w:rPr>
                <w:rFonts w:ascii="Times New Roman" w:hAnsi="Times New Roman" w:cs="Times New Roman"/>
                <w:sz w:val="24"/>
              </w:rPr>
            </w:pPr>
            <w:r>
              <w:rPr>
                <w:rFonts w:ascii="Times New Roman" w:hAnsi="Times New Roman" w:eastAsia="宋体" w:cs="Times New Roman"/>
                <w:sz w:val="24"/>
              </w:rPr>
              <w:t>①</w:t>
            </w:r>
            <w:r>
              <w:rPr>
                <w:rFonts w:ascii="Times New Roman" w:hAnsi="Times New Roman" w:cs="Times New Roman"/>
                <w:sz w:val="24"/>
              </w:rPr>
              <w:t>工程设计要十分重视从设备选型入手，选择性能好，噪音低的及消音隔声好的设备。将设备噪声控制在工程设计规定标准内。</w:t>
            </w:r>
          </w:p>
          <w:p>
            <w:pPr>
              <w:spacing w:line="480" w:lineRule="exact"/>
              <w:ind w:firstLine="480" w:firstLineChars="200"/>
              <w:rPr>
                <w:rFonts w:ascii="Times New Roman" w:hAnsi="Times New Roman" w:cs="Times New Roman"/>
                <w:sz w:val="24"/>
              </w:rPr>
            </w:pPr>
            <w:r>
              <w:rPr>
                <w:rFonts w:ascii="Times New Roman" w:hAnsi="Times New Roman" w:eastAsia="宋体" w:cs="Times New Roman"/>
                <w:sz w:val="24"/>
              </w:rPr>
              <w:t>②</w:t>
            </w:r>
            <w:r>
              <w:rPr>
                <w:rFonts w:ascii="Times New Roman" w:hAnsi="Times New Roman" w:cs="Times New Roman"/>
                <w:sz w:val="24"/>
              </w:rPr>
              <w:t>维持设备处于良好运转状态，因设备运转不正常时噪声往往增高。</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（2）在噪声传播途径上降低噪声</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设备安装时应根据其噪声声频特性，对各个产生噪声点采取行之有效的隔声、消声、吸音、减振措施。</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（3）受声者个人保护</w:t>
            </w:r>
          </w:p>
          <w:p>
            <w:pPr>
              <w:spacing w:line="480" w:lineRule="exact"/>
              <w:ind w:firstLine="480" w:firstLineChars="200"/>
              <w:rPr>
                <w:rFonts w:ascii="Times New Roman" w:hAnsi="Times New Roman" w:cs="Times New Roman"/>
                <w:sz w:val="24"/>
              </w:rPr>
            </w:pPr>
            <w:r>
              <w:rPr>
                <w:rFonts w:ascii="Times New Roman" w:hAnsi="Times New Roman" w:cs="Times New Roman"/>
                <w:sz w:val="24"/>
              </w:rPr>
              <w:t>在高噪声设备的现场工作人员，应佩戴耳塞等防噪材料，并根据国家劳动保护要求，调整、缩短作业时间，以确保工人身心健康。</w:t>
            </w:r>
          </w:p>
          <w:p>
            <w:pPr>
              <w:spacing w:line="500" w:lineRule="exact"/>
              <w:ind w:firstLine="361" w:firstLineChars="15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3.3噪声预测</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根据《环境影响评价技术导则</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声环境》（HJ 2.4-2009）的技术要求，本次评价采取导则上推荐模式。</w:t>
            </w:r>
          </w:p>
          <w:p>
            <w:pPr>
              <w:spacing w:before="78" w:beforeLines="25"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 1 \* GB3 </w:instrText>
            </w:r>
            <w:r>
              <w:rPr>
                <w:rFonts w:ascii="Times New Roman" w:hAnsi="Times New Roman" w:cs="Times New Roman"/>
                <w:color w:val="000000" w:themeColor="text1"/>
                <w:sz w:val="24"/>
                <w:szCs w:val="24"/>
              </w:rPr>
              <w:fldChar w:fldCharType="separate"/>
            </w:r>
            <w:r>
              <w:rPr>
                <w:rFonts w:ascii="Times New Roman" w:hAnsi="Times New Roman" w:eastAsia="宋体" w:cs="Times New Roman"/>
                <w:color w:val="000000" w:themeColor="text1"/>
                <w:sz w:val="24"/>
                <w:szCs w:val="24"/>
              </w:rPr>
              <w:t>①</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声级计算</w:t>
            </w:r>
          </w:p>
          <w:p>
            <w:pPr>
              <w:spacing w:before="78" w:beforeLines="25" w:line="500" w:lineRule="exact"/>
              <w:ind w:firstLine="480" w:firstLineChars="200"/>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建设项目声源在预测点产生的等效声级贡献值(L</w:t>
            </w:r>
            <w:r>
              <w:rPr>
                <w:rFonts w:ascii="Times New Roman" w:hAnsi="Times New Roman" w:cs="Times New Roman"/>
                <w:i/>
                <w:iCs/>
                <w:color w:val="000000" w:themeColor="text1"/>
                <w:sz w:val="14"/>
                <w:szCs w:val="14"/>
              </w:rPr>
              <w:t>eq g</w:t>
            </w:r>
            <w:r>
              <w:rPr>
                <w:rFonts w:ascii="Times New Roman" w:hAnsi="Times New Roman" w:cs="Times New Roman"/>
                <w:color w:val="000000" w:themeColor="text1"/>
                <w:sz w:val="24"/>
                <w:szCs w:val="24"/>
              </w:rPr>
              <w:t>)计算公式：</w:t>
            </w:r>
          </w:p>
          <w:p>
            <w:pPr>
              <w:spacing w:before="78" w:beforeLines="25" w:line="500" w:lineRule="exact"/>
              <w:ind w:firstLine="2760" w:firstLineChars="1150"/>
              <w:rPr>
                <w:rFonts w:ascii="Times New Roman" w:hAnsi="Times New Roman" w:cs="Times New Roman"/>
                <w:color w:val="000000" w:themeColor="text1"/>
                <w:sz w:val="24"/>
                <w:szCs w:val="24"/>
              </w:rPr>
            </w:pPr>
            <w:r>
              <w:rPr>
                <w:rFonts w:ascii="Times New Roman" w:hAnsi="Times New Roman" w:eastAsia="宋体" w:cs="Times New Roman"/>
                <w:color w:val="000000" w:themeColor="text1"/>
                <w:position w:val="-28"/>
                <w:sz w:val="24"/>
                <w:szCs w:val="24"/>
              </w:rPr>
              <w:object>
                <v:shape id="_x0000_i1028" o:spt="75" type="#_x0000_t75" style="height:33.8pt;width:132.75pt;" o:ole="t" filled="f" o:preferrelative="t" stroked="f" coordsize="21600,21600">
                  <v:path/>
                  <v:fill on="f" focussize="0,0"/>
                  <v:stroke on="f" joinstyle="miter"/>
                  <v:imagedata r:id="rId22" o:title=""/>
                  <o:lock v:ext="edit" aspectratio="t"/>
                  <w10:wrap type="none"/>
                  <w10:anchorlock/>
                </v:shape>
                <o:OLEObject Type="Embed" ProgID="Equations" ShapeID="_x0000_i1028" DrawAspect="Content" ObjectID="_1468075728" r:id="rId21">
                  <o:LockedField>false</o:LockedField>
                </o:OLEObject>
              </w:objec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式中：</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vertAlign w:val="subscript"/>
              </w:rPr>
              <w:t>eqg</w:t>
            </w:r>
            <w:r>
              <w:rPr>
                <w:rFonts w:ascii="Times New Roman" w:hAnsi="Times New Roman" w:cs="Times New Roman"/>
                <w:color w:val="000000" w:themeColor="text1"/>
                <w:sz w:val="24"/>
                <w:szCs w:val="24"/>
              </w:rPr>
              <w:t>—建设项目声源在预测点的等效声级贡献值，dB(A)；</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vertAlign w:val="subscript"/>
              </w:rPr>
              <w:t xml:space="preserve">Ai </w:t>
            </w:r>
            <w:r>
              <w:rPr>
                <w:rFonts w:ascii="Times New Roman" w:hAnsi="Times New Roman" w:cs="Times New Roman"/>
                <w:color w:val="000000" w:themeColor="text1"/>
                <w:sz w:val="24"/>
                <w:szCs w:val="24"/>
              </w:rPr>
              <w:t>— i声源在预测点产生的A 声级，dB(A)；</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 — 预测计算的时间段，s；</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vertAlign w:val="subscript"/>
              </w:rPr>
              <w:t>i</w:t>
            </w:r>
            <w:r>
              <w:rPr>
                <w:rFonts w:ascii="Times New Roman" w:hAnsi="Times New Roman" w:cs="Times New Roman"/>
                <w:color w:val="000000" w:themeColor="text1"/>
                <w:sz w:val="24"/>
                <w:szCs w:val="24"/>
              </w:rPr>
              <w:t>— i 声源在T 时段内的运行时间，s。</w:t>
            </w:r>
          </w:p>
          <w:p>
            <w:pPr>
              <w:spacing w:before="78" w:beforeLines="25" w:line="500" w:lineRule="exact"/>
              <w:ind w:firstLine="480" w:firstLineChars="200"/>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 2 \* GB3 </w:instrText>
            </w:r>
            <w:r>
              <w:rPr>
                <w:rFonts w:ascii="Times New Roman" w:hAnsi="Times New Roman" w:cs="Times New Roman"/>
                <w:color w:val="000000" w:themeColor="text1"/>
                <w:sz w:val="24"/>
                <w:szCs w:val="24"/>
              </w:rPr>
              <w:fldChar w:fldCharType="separate"/>
            </w:r>
            <w:r>
              <w:rPr>
                <w:rFonts w:ascii="Times New Roman" w:hAnsi="Times New Roman" w:eastAsia="宋体" w:cs="Times New Roman"/>
                <w:color w:val="000000" w:themeColor="text1"/>
                <w:sz w:val="24"/>
                <w:szCs w:val="24"/>
              </w:rPr>
              <w:t>②</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预测点的预测等效声级(</w:t>
            </w:r>
            <w:r>
              <w:rPr>
                <w:rFonts w:ascii="Times New Roman" w:hAnsi="Times New Roman" w:cs="Times New Roman"/>
                <w:i/>
                <w:iCs/>
                <w:color w:val="000000" w:themeColor="text1"/>
                <w:sz w:val="24"/>
                <w:szCs w:val="24"/>
              </w:rPr>
              <w:t>L</w:t>
            </w:r>
            <w:r>
              <w:rPr>
                <w:rFonts w:ascii="Times New Roman" w:hAnsi="Times New Roman" w:cs="Times New Roman"/>
                <w:i/>
                <w:iCs/>
                <w:color w:val="000000" w:themeColor="text1"/>
                <w:sz w:val="14"/>
                <w:szCs w:val="14"/>
              </w:rPr>
              <w:t xml:space="preserve"> eq</w:t>
            </w:r>
            <w:r>
              <w:rPr>
                <w:rFonts w:ascii="Times New Roman" w:hAnsi="Times New Roman" w:cs="Times New Roman"/>
                <w:color w:val="000000" w:themeColor="text1"/>
                <w:sz w:val="24"/>
                <w:szCs w:val="24"/>
              </w:rPr>
              <w:t>)计算公式</w:t>
            </w:r>
          </w:p>
          <w:p>
            <w:pPr>
              <w:spacing w:before="78" w:beforeLines="25" w:line="500" w:lineRule="exact"/>
              <w:ind w:firstLine="2640" w:firstLineChars="1100"/>
              <w:rPr>
                <w:rFonts w:ascii="Times New Roman" w:hAnsi="Times New Roman" w:cs="Times New Roman"/>
                <w:color w:val="000000" w:themeColor="text1"/>
                <w:sz w:val="24"/>
                <w:szCs w:val="24"/>
              </w:rPr>
            </w:pPr>
            <w:r>
              <w:rPr>
                <w:rFonts w:ascii="Times New Roman" w:hAnsi="Times New Roman" w:eastAsia="宋体" w:cs="Times New Roman"/>
                <w:color w:val="000000" w:themeColor="text1"/>
                <w:position w:val="-14"/>
                <w:sz w:val="24"/>
                <w:szCs w:val="24"/>
              </w:rPr>
              <w:object>
                <v:shape id="_x0000_i1029" o:spt="75" type="#_x0000_t75" style="height:22.55pt;width:140.25pt;" o:ole="t" filled="f" o:preferrelative="t" stroked="f" coordsize="21600,21600">
                  <v:path/>
                  <v:fill on="f" focussize="0,0"/>
                  <v:stroke on="f" joinstyle="miter"/>
                  <v:imagedata r:id="rId24" o:title=""/>
                  <o:lock v:ext="edit" aspectratio="t"/>
                  <w10:wrap type="none"/>
                  <w10:anchorlock/>
                </v:shape>
                <o:OLEObject Type="Embed" ProgID="Equations" ShapeID="_x0000_i1029" DrawAspect="Content" ObjectID="_1468075729" r:id="rId23">
                  <o:LockedField>false</o:LockedField>
                </o:OLEObject>
              </w:object>
            </w:r>
          </w:p>
          <w:p>
            <w:pPr>
              <w:spacing w:before="78" w:beforeLines="25"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sz w:val="24"/>
                <w:szCs w:val="24"/>
              </w:rPr>
              <w:t>式中：</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L</w:t>
            </w:r>
            <w:r>
              <w:rPr>
                <w:rFonts w:ascii="Times New Roman" w:hAnsi="Times New Roman" w:cs="Times New Roman"/>
                <w:i/>
                <w:iCs/>
                <w:color w:val="000000" w:themeColor="text1"/>
                <w:sz w:val="14"/>
                <w:szCs w:val="14"/>
              </w:rPr>
              <w:t xml:space="preserve"> eq g</w:t>
            </w:r>
            <w:r>
              <w:rPr>
                <w:rFonts w:ascii="Times New Roman" w:hAnsi="Times New Roman" w:cs="Times New Roman"/>
                <w:color w:val="000000" w:themeColor="text1"/>
                <w:sz w:val="24"/>
                <w:szCs w:val="24"/>
              </w:rPr>
              <w:t>—建设项目声源在预测点的等效声级贡献值，dB(A)；</w:t>
            </w:r>
          </w:p>
          <w:p>
            <w:pPr>
              <w:spacing w:before="78" w:beforeLines="25" w:line="500" w:lineRule="exact"/>
              <w:ind w:firstLine="480" w:firstLineChars="200"/>
              <w:rPr>
                <w:rFonts w:ascii="Times New Roman" w:hAnsi="Times New Roman" w:cs="Times New Roman"/>
                <w:color w:val="000000" w:themeColor="text1"/>
                <w:sz w:val="20"/>
                <w:szCs w:val="20"/>
              </w:rPr>
            </w:pPr>
            <w:r>
              <w:rPr>
                <w:rFonts w:ascii="Times New Roman" w:hAnsi="Times New Roman" w:cs="Times New Roman"/>
                <w:i/>
                <w:iCs/>
                <w:color w:val="000000" w:themeColor="text1"/>
                <w:sz w:val="24"/>
                <w:szCs w:val="24"/>
              </w:rPr>
              <w:t>L</w:t>
            </w:r>
            <w:r>
              <w:rPr>
                <w:rFonts w:ascii="Times New Roman" w:hAnsi="Times New Roman" w:cs="Times New Roman"/>
                <w:i/>
                <w:iCs/>
                <w:color w:val="000000" w:themeColor="text1"/>
                <w:sz w:val="14"/>
                <w:szCs w:val="14"/>
              </w:rPr>
              <w:t xml:space="preserve"> eqb</w:t>
            </w:r>
            <w:r>
              <w:rPr>
                <w:rFonts w:ascii="Times New Roman" w:hAnsi="Times New Roman" w:cs="Times New Roman"/>
                <w:color w:val="000000" w:themeColor="text1"/>
                <w:sz w:val="24"/>
                <w:szCs w:val="24"/>
              </w:rPr>
              <w:t>— 预测点的背景值，dB(A)。</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 3 \* GB3 </w:instrText>
            </w:r>
            <w:r>
              <w:rPr>
                <w:rFonts w:ascii="Times New Roman" w:hAnsi="Times New Roman" w:cs="Times New Roman"/>
                <w:color w:val="000000" w:themeColor="text1"/>
                <w:sz w:val="24"/>
                <w:szCs w:val="24"/>
              </w:rPr>
              <w:fldChar w:fldCharType="separate"/>
            </w:r>
            <w:r>
              <w:rPr>
                <w:rFonts w:ascii="Times New Roman" w:hAnsi="Times New Roman" w:eastAsia="宋体" w:cs="Times New Roman"/>
                <w:color w:val="000000" w:themeColor="text1"/>
                <w:sz w:val="24"/>
                <w:szCs w:val="24"/>
              </w:rPr>
              <w:t>③</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户外声传播衰减计算</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户外声传播衰减包括几何发散（A</w:t>
            </w:r>
            <w:r>
              <w:rPr>
                <w:rFonts w:ascii="Times New Roman" w:hAnsi="Times New Roman" w:cs="Times New Roman"/>
                <w:color w:val="000000" w:themeColor="text1"/>
                <w:sz w:val="24"/>
                <w:szCs w:val="24"/>
                <w:vertAlign w:val="subscript"/>
              </w:rPr>
              <w:t>div</w:t>
            </w:r>
            <w:r>
              <w:rPr>
                <w:rFonts w:ascii="Times New Roman" w:hAnsi="Times New Roman" w:cs="Times New Roman"/>
                <w:color w:val="000000" w:themeColor="text1"/>
                <w:sz w:val="24"/>
                <w:szCs w:val="24"/>
              </w:rPr>
              <w:t>）、大气吸收（A</w:t>
            </w:r>
            <w:r>
              <w:rPr>
                <w:rFonts w:ascii="Times New Roman" w:hAnsi="Times New Roman" w:cs="Times New Roman"/>
                <w:color w:val="000000" w:themeColor="text1"/>
                <w:sz w:val="24"/>
                <w:szCs w:val="24"/>
                <w:vertAlign w:val="subscript"/>
              </w:rPr>
              <w:t>atm</w:t>
            </w:r>
            <w:r>
              <w:rPr>
                <w:rFonts w:ascii="Times New Roman" w:hAnsi="Times New Roman" w:cs="Times New Roman"/>
                <w:color w:val="000000" w:themeColor="text1"/>
                <w:sz w:val="24"/>
                <w:szCs w:val="24"/>
              </w:rPr>
              <w:t>）、地面效应（A</w:t>
            </w:r>
            <w:r>
              <w:rPr>
                <w:rFonts w:ascii="Times New Roman" w:hAnsi="Times New Roman" w:cs="Times New Roman"/>
                <w:color w:val="000000" w:themeColor="text1"/>
                <w:sz w:val="24"/>
                <w:szCs w:val="24"/>
                <w:vertAlign w:val="subscript"/>
              </w:rPr>
              <w:t>gr</w:t>
            </w:r>
            <w:r>
              <w:rPr>
                <w:rFonts w:ascii="Times New Roman" w:hAnsi="Times New Roman" w:cs="Times New Roman"/>
                <w:color w:val="000000" w:themeColor="text1"/>
                <w:sz w:val="24"/>
                <w:szCs w:val="24"/>
              </w:rPr>
              <w:t>）、屏障屏蔽（A</w:t>
            </w:r>
            <w:r>
              <w:rPr>
                <w:rFonts w:ascii="Times New Roman" w:hAnsi="Times New Roman" w:cs="Times New Roman"/>
                <w:color w:val="000000" w:themeColor="text1"/>
                <w:sz w:val="24"/>
                <w:szCs w:val="24"/>
                <w:vertAlign w:val="subscript"/>
              </w:rPr>
              <w:t>bar</w:t>
            </w:r>
            <w:r>
              <w:rPr>
                <w:rFonts w:ascii="Times New Roman" w:hAnsi="Times New Roman" w:cs="Times New Roman"/>
                <w:color w:val="000000" w:themeColor="text1"/>
                <w:sz w:val="24"/>
                <w:szCs w:val="24"/>
              </w:rPr>
              <w:t>）、其他多方面效应（A</w:t>
            </w:r>
            <w:r>
              <w:rPr>
                <w:rFonts w:ascii="Times New Roman" w:hAnsi="Times New Roman" w:cs="Times New Roman"/>
                <w:color w:val="000000" w:themeColor="text1"/>
                <w:sz w:val="24"/>
                <w:szCs w:val="24"/>
                <w:vertAlign w:val="subscript"/>
              </w:rPr>
              <w:t>misc</w:t>
            </w:r>
            <w:r>
              <w:rPr>
                <w:rFonts w:ascii="Times New Roman" w:hAnsi="Times New Roman" w:cs="Times New Roman"/>
                <w:color w:val="000000" w:themeColor="text1"/>
                <w:sz w:val="24"/>
                <w:szCs w:val="24"/>
              </w:rPr>
              <w:t>）引起的衰减。</w:t>
            </w:r>
          </w:p>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距声源点r处的A声级按下式计算：</w:t>
            </w:r>
          </w:p>
          <w:p>
            <w:pPr>
              <w:spacing w:before="78" w:beforeLines="25" w:line="500" w:lineRule="exact"/>
              <w:ind w:firstLine="1680" w:firstLineChars="7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drawing>
                <wp:inline distT="0" distB="0" distL="0" distR="0">
                  <wp:extent cx="3238500" cy="342900"/>
                  <wp:effectExtent l="1905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25" cstate="print"/>
                          <a:srcRect/>
                          <a:stretch>
                            <a:fillRect/>
                          </a:stretch>
                        </pic:blipFill>
                        <pic:spPr>
                          <a:xfrm>
                            <a:off x="0" y="0"/>
                            <a:ext cx="3238500" cy="342900"/>
                          </a:xfrm>
                          <a:prstGeom prst="rect">
                            <a:avLst/>
                          </a:prstGeom>
                          <a:noFill/>
                          <a:ln w="9525">
                            <a:noFill/>
                            <a:miter lim="800000"/>
                            <a:headEnd/>
                            <a:tailEnd/>
                          </a:ln>
                        </pic:spPr>
                      </pic:pic>
                    </a:graphicData>
                  </a:graphic>
                </wp:inline>
              </w:drawing>
            </w:r>
          </w:p>
          <w:p>
            <w:pPr>
              <w:spacing w:line="500" w:lineRule="exact"/>
              <w:ind w:firstLine="480" w:firstLineChars="20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本项目夜间不生产，因此仅预测噪声源对各预测点昼间的影响预测结果见下表。</w:t>
            </w:r>
          </w:p>
          <w:p>
            <w:pPr>
              <w:spacing w:line="500" w:lineRule="exact"/>
              <w:ind w:firstLine="482"/>
              <w:jc w:val="center"/>
              <w:rPr>
                <w:rFonts w:ascii="Times New Roman" w:hAnsi="Times New Roman" w:cs="Times New Roman"/>
                <w:b/>
                <w:kern w:val="10"/>
                <w:szCs w:val="21"/>
              </w:rPr>
            </w:pPr>
            <w:r>
              <w:rPr>
                <w:rFonts w:ascii="Times New Roman" w:hAnsi="Times New Roman" w:cs="Times New Roman"/>
                <w:b/>
                <w:kern w:val="10"/>
                <w:szCs w:val="21"/>
              </w:rPr>
              <w:t>表7-1</w:t>
            </w:r>
            <w:r>
              <w:rPr>
                <w:rFonts w:hint="eastAsia" w:ascii="Times New Roman" w:hAnsi="Times New Roman" w:cs="Times New Roman"/>
                <w:b/>
                <w:kern w:val="10"/>
                <w:szCs w:val="21"/>
              </w:rPr>
              <w:t>5</w:t>
            </w:r>
            <w:r>
              <w:rPr>
                <w:rFonts w:ascii="Times New Roman" w:hAnsi="Times New Roman" w:cs="Times New Roman"/>
                <w:b/>
                <w:kern w:val="10"/>
                <w:szCs w:val="21"/>
              </w:rPr>
              <w:t>运营期厂界噪声</w:t>
            </w:r>
            <w:r>
              <w:rPr>
                <w:rFonts w:hint="eastAsia" w:ascii="Times New Roman" w:hAnsi="Times New Roman" w:cs="Times New Roman"/>
                <w:b/>
                <w:kern w:val="10"/>
                <w:szCs w:val="21"/>
              </w:rPr>
              <w:t>贡献</w:t>
            </w:r>
            <w:r>
              <w:rPr>
                <w:rFonts w:ascii="Times New Roman" w:hAnsi="Times New Roman" w:cs="Times New Roman"/>
                <w:b/>
                <w:kern w:val="10"/>
                <w:szCs w:val="21"/>
              </w:rPr>
              <w:t>值（单位：dB（A））</w:t>
            </w:r>
          </w:p>
          <w:tbl>
            <w:tblPr>
              <w:tblStyle w:val="40"/>
              <w:tblW w:w="90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862"/>
              <w:gridCol w:w="2048"/>
              <w:gridCol w:w="1489"/>
              <w:gridCol w:w="142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35"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序号</w:t>
                  </w:r>
                </w:p>
              </w:tc>
              <w:tc>
                <w:tcPr>
                  <w:tcW w:w="1862" w:type="dxa"/>
                  <w:tcBorders>
                    <w:tl2br w:val="nil"/>
                    <w:tr2bl w:val="nil"/>
                  </w:tcBorders>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1#北厂界</w:t>
                  </w:r>
                </w:p>
              </w:tc>
              <w:tc>
                <w:tcPr>
                  <w:tcW w:w="2048" w:type="dxa"/>
                  <w:tcBorders>
                    <w:tl2br w:val="nil"/>
                    <w:tr2bl w:val="nil"/>
                  </w:tcBorders>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2#东厂界</w:t>
                  </w:r>
                </w:p>
              </w:tc>
              <w:tc>
                <w:tcPr>
                  <w:tcW w:w="1489" w:type="dxa"/>
                  <w:tcBorders>
                    <w:tl2br w:val="nil"/>
                    <w:tr2bl w:val="nil"/>
                  </w:tcBorders>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3#南厂界</w:t>
                  </w:r>
                </w:p>
              </w:tc>
              <w:tc>
                <w:tcPr>
                  <w:tcW w:w="142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4#西厂界</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35"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贡献值</w:t>
                  </w:r>
                </w:p>
              </w:tc>
              <w:tc>
                <w:tcPr>
                  <w:tcW w:w="1862" w:type="dxa"/>
                  <w:tcBorders>
                    <w:tl2br w:val="nil"/>
                    <w:tr2bl w:val="nil"/>
                  </w:tcBorders>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lang w:val="en-US" w:eastAsia="zh-CN"/>
                    </w:rPr>
                    <w:t>4</w:t>
                  </w:r>
                  <w:r>
                    <w:rPr>
                      <w:rFonts w:ascii="Times New Roman" w:hAnsi="Times New Roman" w:eastAsia="宋体" w:cs="Times New Roman"/>
                      <w:color w:val="000000" w:themeColor="text1"/>
                      <w:kern w:val="0"/>
                      <w:szCs w:val="21"/>
                    </w:rPr>
                    <w:t>8.08</w:t>
                  </w:r>
                </w:p>
              </w:tc>
              <w:tc>
                <w:tcPr>
                  <w:tcW w:w="2048" w:type="dxa"/>
                  <w:tcBorders>
                    <w:tl2br w:val="nil"/>
                    <w:tr2bl w:val="nil"/>
                  </w:tcBorders>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lang w:val="en-US" w:eastAsia="zh-CN"/>
                    </w:rPr>
                    <w:t>51</w:t>
                  </w:r>
                  <w:r>
                    <w:rPr>
                      <w:rFonts w:ascii="Times New Roman" w:hAnsi="Times New Roman" w:eastAsia="宋体" w:cs="Times New Roman"/>
                      <w:color w:val="000000" w:themeColor="text1"/>
                      <w:kern w:val="0"/>
                      <w:szCs w:val="21"/>
                    </w:rPr>
                    <w:t>.</w:t>
                  </w:r>
                  <w:r>
                    <w:rPr>
                      <w:rFonts w:hint="eastAsia" w:ascii="Times New Roman" w:hAnsi="Times New Roman" w:eastAsia="宋体" w:cs="Times New Roman"/>
                      <w:color w:val="000000" w:themeColor="text1"/>
                      <w:kern w:val="0"/>
                      <w:szCs w:val="21"/>
                      <w:lang w:val="en-US" w:eastAsia="zh-CN"/>
                    </w:rPr>
                    <w:t>2</w:t>
                  </w:r>
                  <w:r>
                    <w:rPr>
                      <w:rFonts w:ascii="Times New Roman" w:hAnsi="Times New Roman" w:eastAsia="宋体" w:cs="Times New Roman"/>
                      <w:color w:val="000000" w:themeColor="text1"/>
                      <w:kern w:val="0"/>
                      <w:szCs w:val="21"/>
                    </w:rPr>
                    <w:t>2</w:t>
                  </w:r>
                </w:p>
              </w:tc>
              <w:tc>
                <w:tcPr>
                  <w:tcW w:w="1489" w:type="dxa"/>
                  <w:tcBorders>
                    <w:tl2br w:val="nil"/>
                    <w:tr2bl w:val="nil"/>
                  </w:tcBorders>
                  <w:vAlign w:val="center"/>
                </w:tcPr>
                <w:p>
                  <w:pPr>
                    <w:widowControl/>
                    <w:autoSpaceDE w:val="0"/>
                    <w:autoSpaceDN w:val="0"/>
                    <w:adjustRightInd w:val="0"/>
                    <w:jc w:val="center"/>
                    <w:rPr>
                      <w:rFonts w:hint="eastAsia" w:ascii="Times New Roman" w:hAnsi="Times New Roman" w:eastAsia="宋体" w:cs="Times New Roman"/>
                      <w:color w:val="000000" w:themeColor="text1"/>
                      <w:kern w:val="0"/>
                      <w:szCs w:val="21"/>
                      <w:lang w:eastAsia="zh-CN"/>
                    </w:rPr>
                  </w:pPr>
                  <w:r>
                    <w:rPr>
                      <w:rFonts w:hint="eastAsia" w:ascii="Times New Roman" w:hAnsi="Times New Roman" w:eastAsia="宋体" w:cs="Times New Roman"/>
                      <w:color w:val="000000" w:themeColor="text1"/>
                      <w:kern w:val="0"/>
                      <w:szCs w:val="21"/>
                      <w:lang w:val="en-US" w:eastAsia="zh-CN"/>
                    </w:rPr>
                    <w:t>48</w:t>
                  </w:r>
                  <w:r>
                    <w:rPr>
                      <w:rFonts w:ascii="Times New Roman" w:hAnsi="Times New Roman" w:eastAsia="宋体" w:cs="Times New Roman"/>
                      <w:color w:val="000000" w:themeColor="text1"/>
                      <w:kern w:val="0"/>
                      <w:szCs w:val="21"/>
                    </w:rPr>
                    <w:t>.5</w:t>
                  </w:r>
                  <w:r>
                    <w:rPr>
                      <w:rFonts w:hint="eastAsia" w:ascii="Times New Roman" w:hAnsi="Times New Roman" w:eastAsia="宋体" w:cs="Times New Roman"/>
                      <w:color w:val="000000" w:themeColor="text1"/>
                      <w:kern w:val="0"/>
                      <w:szCs w:val="21"/>
                      <w:lang w:val="en-US" w:eastAsia="zh-CN"/>
                    </w:rPr>
                    <w:t>3</w:t>
                  </w:r>
                </w:p>
              </w:tc>
              <w:tc>
                <w:tcPr>
                  <w:tcW w:w="142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45.21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35"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达标情况</w:t>
                  </w:r>
                </w:p>
              </w:tc>
              <w:tc>
                <w:tcPr>
                  <w:tcW w:w="1862" w:type="dxa"/>
                  <w:tcBorders>
                    <w:tl2br w:val="nil"/>
                    <w:tr2bl w:val="nil"/>
                  </w:tcBorders>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达标</w:t>
                  </w:r>
                </w:p>
              </w:tc>
              <w:tc>
                <w:tcPr>
                  <w:tcW w:w="2048" w:type="dxa"/>
                  <w:tcBorders>
                    <w:tl2br w:val="nil"/>
                    <w:tr2bl w:val="nil"/>
                  </w:tcBorders>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达标</w:t>
                  </w:r>
                </w:p>
              </w:tc>
              <w:tc>
                <w:tcPr>
                  <w:tcW w:w="1489" w:type="dxa"/>
                  <w:tcBorders>
                    <w:tl2br w:val="nil"/>
                    <w:tr2bl w:val="nil"/>
                  </w:tcBorders>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达标</w:t>
                  </w:r>
                </w:p>
              </w:tc>
              <w:tc>
                <w:tcPr>
                  <w:tcW w:w="142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达标</w:t>
                  </w:r>
                </w:p>
              </w:tc>
            </w:tr>
          </w:tbl>
          <w:p>
            <w:pPr>
              <w:spacing w:before="78" w:beforeLines="25"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噪声源经距离衰减及隔声措施后，各厂界噪声排放能达到《工业企业厂界环境噪声排放标准》（GB12348-2008）中2类标准限值的要求。</w:t>
            </w:r>
          </w:p>
          <w:p>
            <w:pPr>
              <w:spacing w:before="78" w:beforeLines="25" w:line="500" w:lineRule="exact"/>
              <w:ind w:firstLine="480" w:firstLineChars="2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本项目运输道路沿线无居民点，对周边声环境质量影响较小。</w:t>
            </w:r>
          </w:p>
          <w:p>
            <w:pPr>
              <w:spacing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4、固体废物环境影响分析</w:t>
            </w:r>
          </w:p>
          <w:p>
            <w:pPr>
              <w:spacing w:line="500" w:lineRule="exact"/>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本项目产生的固体废物主要为除尘器收尘</w:t>
            </w:r>
            <w:r>
              <w:rPr>
                <w:rFonts w:ascii="Times New Roman" w:hAnsi="Times New Roman" w:cs="Times New Roman"/>
                <w:bCs/>
                <w:kern w:val="0"/>
                <w:sz w:val="24"/>
                <w:szCs w:val="24"/>
              </w:rPr>
              <w:t>、废机油、</w:t>
            </w:r>
            <w:r>
              <w:rPr>
                <w:rFonts w:ascii="Times New Roman" w:hAnsi="Times New Roman" w:eastAsia="宋体" w:cs="Times New Roman"/>
                <w:color w:val="000000" w:themeColor="text1"/>
                <w:sz w:val="24"/>
                <w:szCs w:val="24"/>
              </w:rPr>
              <w:t>职工生活产生的生活垃圾等。</w:t>
            </w:r>
          </w:p>
          <w:p>
            <w:pPr>
              <w:spacing w:line="50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除尘灰</w:t>
            </w:r>
          </w:p>
          <w:p>
            <w:pPr>
              <w:spacing w:line="500" w:lineRule="exact"/>
              <w:ind w:firstLine="480" w:firstLineChars="200"/>
              <w:rPr>
                <w:rFonts w:ascii="Times New Roman" w:hAnsi="Times New Roman" w:eastAsia="宋体" w:cs="Times New Roman"/>
                <w:sz w:val="24"/>
                <w:szCs w:val="24"/>
              </w:rPr>
            </w:pPr>
            <w:r>
              <w:rPr>
                <w:rFonts w:hint="eastAsia"/>
                <w:sz w:val="24"/>
              </w:rPr>
              <w:t>生产过程破碎和振筛除尘器收集的灰尘</w:t>
            </w:r>
            <w:r>
              <w:rPr>
                <w:rFonts w:ascii="Times New Roman" w:hAnsi="Times New Roman" w:cs="Times New Roman"/>
                <w:sz w:val="24"/>
              </w:rPr>
              <w:t>量</w:t>
            </w:r>
            <w:r>
              <w:rPr>
                <w:rFonts w:hint="eastAsia" w:ascii="Times New Roman" w:hAnsi="Times New Roman" w:cs="Times New Roman"/>
                <w:sz w:val="24"/>
              </w:rPr>
              <w:t>和小于2cm的石料一起外售</w:t>
            </w:r>
            <w:r>
              <w:rPr>
                <w:rFonts w:ascii="Times New Roman" w:hAnsi="Times New Roman" w:eastAsia="宋体" w:cs="Times New Roman"/>
                <w:sz w:val="24"/>
                <w:szCs w:val="24"/>
              </w:rPr>
              <w:t>。</w:t>
            </w:r>
          </w:p>
          <w:p>
            <w:pPr>
              <w:spacing w:line="50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w:t>
            </w:r>
            <w:r>
              <w:rPr>
                <w:rFonts w:ascii="Times New Roman" w:hAnsi="Times New Roman" w:eastAsia="宋体" w:cs="Times New Roman"/>
                <w:b/>
                <w:color w:val="000000" w:themeColor="text1"/>
                <w:sz w:val="24"/>
                <w:szCs w:val="24"/>
              </w:rPr>
              <w:t>废机油</w:t>
            </w:r>
          </w:p>
          <w:p>
            <w:pPr>
              <w:spacing w:line="5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主要为破碎机等生产设备维修和厂区内运输车辆定期</w:t>
            </w:r>
            <w:r>
              <w:rPr>
                <w:rFonts w:ascii="Times New Roman" w:hAnsi="Times New Roman" w:eastAsia="宋体" w:cs="Times New Roman"/>
                <w:sz w:val="24"/>
                <w:szCs w:val="24"/>
              </w:rPr>
              <w:t>维修产生的废机油约为0.1t/a</w:t>
            </w:r>
            <w:r>
              <w:rPr>
                <w:rFonts w:hint="eastAsia" w:ascii="Times New Roman" w:hAnsi="Times New Roman" w:eastAsia="宋体" w:cs="Times New Roman"/>
                <w:sz w:val="24"/>
                <w:szCs w:val="24"/>
              </w:rPr>
              <w:t>，由有资质的单位处置</w:t>
            </w:r>
            <w:r>
              <w:rPr>
                <w:rFonts w:ascii="Times New Roman" w:hAnsi="Times New Roman" w:eastAsia="宋体" w:cs="Times New Roman"/>
                <w:sz w:val="24"/>
                <w:szCs w:val="24"/>
              </w:rPr>
              <w:t>。</w:t>
            </w:r>
          </w:p>
          <w:p>
            <w:pPr>
              <w:spacing w:line="48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w:t>
            </w:r>
            <w:r>
              <w:rPr>
                <w:rFonts w:hint="eastAsia" w:ascii="Times New Roman" w:hAnsi="Times New Roman" w:eastAsia="宋体" w:cs="Times New Roman"/>
                <w:b/>
                <w:color w:val="000000" w:themeColor="text1"/>
                <w:sz w:val="24"/>
                <w:szCs w:val="24"/>
              </w:rPr>
              <w:t>3</w:t>
            </w:r>
            <w:r>
              <w:rPr>
                <w:rFonts w:ascii="Times New Roman" w:hAnsi="Times New Roman" w:eastAsia="宋体" w:cs="Times New Roman"/>
                <w:b/>
                <w:color w:val="000000" w:themeColor="text1"/>
                <w:sz w:val="24"/>
                <w:szCs w:val="24"/>
              </w:rPr>
              <w:t>）生活垃圾</w:t>
            </w:r>
          </w:p>
          <w:p>
            <w:pPr>
              <w:spacing w:line="480" w:lineRule="exact"/>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本项目职工人数为1</w:t>
            </w:r>
            <w:r>
              <w:rPr>
                <w:rFonts w:hint="eastAsia" w:ascii="Times New Roman" w:hAnsi="Times New Roman" w:eastAsia="宋体" w:cs="Times New Roman"/>
                <w:color w:val="000000" w:themeColor="text1"/>
                <w:sz w:val="24"/>
                <w:szCs w:val="24"/>
              </w:rPr>
              <w:t>0</w:t>
            </w:r>
            <w:r>
              <w:rPr>
                <w:rFonts w:ascii="Times New Roman" w:hAnsi="Times New Roman" w:eastAsia="宋体" w:cs="Times New Roman"/>
                <w:color w:val="000000" w:themeColor="text1"/>
                <w:sz w:val="24"/>
                <w:szCs w:val="24"/>
              </w:rPr>
              <w:t>人，按每人每天产生0.5kg生活废物计，本项目生活垃圾产生量为</w:t>
            </w:r>
            <w:r>
              <w:rPr>
                <w:rFonts w:hint="eastAsia" w:ascii="Times New Roman" w:hAnsi="Times New Roman" w:eastAsia="宋体" w:cs="Times New Roman"/>
                <w:color w:val="000000" w:themeColor="text1"/>
                <w:sz w:val="24"/>
                <w:szCs w:val="24"/>
              </w:rPr>
              <w:t>5</w:t>
            </w:r>
            <w:r>
              <w:rPr>
                <w:rFonts w:ascii="Times New Roman" w:hAnsi="Times New Roman" w:eastAsia="宋体" w:cs="Times New Roman"/>
                <w:color w:val="000000" w:themeColor="text1"/>
                <w:sz w:val="24"/>
                <w:szCs w:val="24"/>
              </w:rPr>
              <w:t>kg/d（</w:t>
            </w:r>
            <w:r>
              <w:rPr>
                <w:rFonts w:hint="eastAsia" w:ascii="Times New Roman" w:hAnsi="Times New Roman" w:eastAsia="宋体" w:cs="Times New Roman"/>
                <w:color w:val="000000" w:themeColor="text1"/>
                <w:sz w:val="24"/>
                <w:szCs w:val="24"/>
              </w:rPr>
              <w:t>1.5</w:t>
            </w:r>
            <w:r>
              <w:rPr>
                <w:rFonts w:ascii="Times New Roman" w:hAnsi="Times New Roman" w:eastAsia="宋体" w:cs="Times New Roman"/>
                <w:color w:val="000000" w:themeColor="text1"/>
                <w:sz w:val="24"/>
                <w:szCs w:val="24"/>
              </w:rPr>
              <w:t>t/a），生活垃圾集中收集后置于当地环卫部门指定地点，由当地环卫部门统一处理。</w:t>
            </w:r>
          </w:p>
          <w:p>
            <w:pPr>
              <w:spacing w:line="500" w:lineRule="exact"/>
              <w:ind w:firstLine="482"/>
              <w:jc w:val="center"/>
              <w:rPr>
                <w:rFonts w:ascii="Times New Roman" w:hAnsi="Times New Roman" w:cs="Times New Roman"/>
                <w:b/>
                <w:kern w:val="10"/>
                <w:szCs w:val="21"/>
              </w:rPr>
            </w:pPr>
            <w:r>
              <w:rPr>
                <w:rFonts w:hint="eastAsia" w:ascii="Times New Roman" w:hAnsi="Times New Roman" w:cs="Times New Roman"/>
                <w:b/>
                <w:kern w:val="10"/>
                <w:szCs w:val="21"/>
              </w:rPr>
              <w:t>表7-16 危险废物汇总表</w:t>
            </w:r>
          </w:p>
          <w:tbl>
            <w:tblPr>
              <w:tblStyle w:val="41"/>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6"/>
              <w:gridCol w:w="993"/>
              <w:gridCol w:w="832"/>
              <w:gridCol w:w="1120"/>
              <w:gridCol w:w="769"/>
              <w:gridCol w:w="1024"/>
              <w:gridCol w:w="549"/>
              <w:gridCol w:w="586"/>
              <w:gridCol w:w="775"/>
              <w:gridCol w:w="740"/>
              <w:gridCol w:w="533"/>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86"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序号</w:t>
                  </w:r>
                </w:p>
              </w:tc>
              <w:tc>
                <w:tcPr>
                  <w:tcW w:w="993"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危险废物名称</w:t>
                  </w:r>
                </w:p>
              </w:tc>
              <w:tc>
                <w:tcPr>
                  <w:tcW w:w="832"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危险废物类别</w:t>
                  </w:r>
                </w:p>
              </w:tc>
              <w:tc>
                <w:tcPr>
                  <w:tcW w:w="112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危险废物代码</w:t>
                  </w:r>
                </w:p>
              </w:tc>
              <w:tc>
                <w:tcPr>
                  <w:tcW w:w="769"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产生量</w:t>
                  </w:r>
                </w:p>
                <w:p>
                  <w:pPr>
                    <w:widowControl/>
                    <w:autoSpaceDE w:val="0"/>
                    <w:autoSpaceDN w:val="0"/>
                    <w:adjustRightInd w:val="0"/>
                    <w:jc w:val="center"/>
                    <w:rPr>
                      <w:rFonts w:ascii="Times New Roman" w:hAnsi="Times New Roman" w:eastAsia="宋体" w:cs="Times New Roman"/>
                      <w:color w:val="000000" w:themeColor="text1"/>
                      <w:kern w:val="0"/>
                      <w:szCs w:val="21"/>
                    </w:rPr>
                  </w:pPr>
                </w:p>
              </w:tc>
              <w:tc>
                <w:tcPr>
                  <w:tcW w:w="1024"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产生工序及装置</w:t>
                  </w:r>
                </w:p>
              </w:tc>
              <w:tc>
                <w:tcPr>
                  <w:tcW w:w="549"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形态</w:t>
                  </w:r>
                </w:p>
              </w:tc>
              <w:tc>
                <w:tcPr>
                  <w:tcW w:w="586"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主要</w:t>
                  </w:r>
                </w:p>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成分</w:t>
                  </w:r>
                </w:p>
              </w:tc>
              <w:tc>
                <w:tcPr>
                  <w:tcW w:w="775"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有害</w:t>
                  </w:r>
                </w:p>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成分</w:t>
                  </w:r>
                </w:p>
              </w:tc>
              <w:tc>
                <w:tcPr>
                  <w:tcW w:w="74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产废</w:t>
                  </w:r>
                </w:p>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周期</w:t>
                  </w:r>
                </w:p>
              </w:tc>
              <w:tc>
                <w:tcPr>
                  <w:tcW w:w="533"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危险</w:t>
                  </w:r>
                </w:p>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特性</w:t>
                  </w:r>
                </w:p>
              </w:tc>
              <w:tc>
                <w:tcPr>
                  <w:tcW w:w="755"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86"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w:t>
                  </w:r>
                </w:p>
              </w:tc>
              <w:tc>
                <w:tcPr>
                  <w:tcW w:w="993"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废机油</w:t>
                  </w:r>
                </w:p>
              </w:tc>
              <w:tc>
                <w:tcPr>
                  <w:tcW w:w="832"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HW08</w:t>
                  </w:r>
                </w:p>
              </w:tc>
              <w:tc>
                <w:tcPr>
                  <w:tcW w:w="112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900-214-08</w:t>
                  </w:r>
                </w:p>
              </w:tc>
              <w:tc>
                <w:tcPr>
                  <w:tcW w:w="769"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0.</w:t>
                  </w:r>
                  <w:r>
                    <w:rPr>
                      <w:rFonts w:hint="eastAsia" w:ascii="Times New Roman" w:hAnsi="Times New Roman" w:eastAsia="宋体" w:cs="Times New Roman"/>
                      <w:color w:val="000000" w:themeColor="text1"/>
                      <w:kern w:val="0"/>
                      <w:szCs w:val="21"/>
                      <w:lang w:val="en-US" w:eastAsia="zh-CN"/>
                    </w:rPr>
                    <w:t>1</w:t>
                  </w:r>
                  <w:r>
                    <w:rPr>
                      <w:rFonts w:hint="eastAsia" w:ascii="Times New Roman" w:hAnsi="Times New Roman" w:eastAsia="宋体" w:cs="Times New Roman"/>
                      <w:color w:val="000000" w:themeColor="text1"/>
                      <w:kern w:val="0"/>
                      <w:szCs w:val="21"/>
                    </w:rPr>
                    <w:t>t/a</w:t>
                  </w:r>
                </w:p>
              </w:tc>
              <w:tc>
                <w:tcPr>
                  <w:tcW w:w="1024"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维修</w:t>
                  </w:r>
                </w:p>
              </w:tc>
              <w:tc>
                <w:tcPr>
                  <w:tcW w:w="549"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液态</w:t>
                  </w:r>
                </w:p>
              </w:tc>
              <w:tc>
                <w:tcPr>
                  <w:tcW w:w="586"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机油</w:t>
                  </w:r>
                </w:p>
              </w:tc>
              <w:tc>
                <w:tcPr>
                  <w:tcW w:w="775"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机油</w:t>
                  </w:r>
                </w:p>
              </w:tc>
              <w:tc>
                <w:tcPr>
                  <w:tcW w:w="74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每月</w:t>
                  </w:r>
                </w:p>
              </w:tc>
              <w:tc>
                <w:tcPr>
                  <w:tcW w:w="533"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T/In</w:t>
                  </w:r>
                </w:p>
              </w:tc>
              <w:tc>
                <w:tcPr>
                  <w:tcW w:w="755"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在危废仓库暂存，定期委托有处理资质单位处理</w:t>
                  </w:r>
                </w:p>
              </w:tc>
            </w:tr>
          </w:tbl>
          <w:p>
            <w:pPr>
              <w:spacing w:line="440" w:lineRule="exact"/>
              <w:ind w:firstLine="480" w:firstLineChars="200"/>
              <w:rPr>
                <w:rFonts w:eastAsia="仿宋"/>
                <w:color w:val="000000"/>
                <w:sz w:val="24"/>
              </w:rPr>
            </w:pPr>
            <w:r>
              <w:rPr>
                <w:rFonts w:hint="eastAsia" w:eastAsia="仿宋"/>
                <w:color w:val="000000"/>
                <w:sz w:val="24"/>
              </w:rPr>
              <w:t>本项目危险废物贮存场所（设施）基本情况见表7-</w:t>
            </w:r>
            <w:r>
              <w:rPr>
                <w:rFonts w:hint="eastAsia" w:eastAsia="仿宋"/>
                <w:color w:val="000000"/>
                <w:sz w:val="24"/>
                <w:lang w:val="en-US" w:eastAsia="zh-CN"/>
              </w:rPr>
              <w:t>17</w:t>
            </w:r>
            <w:r>
              <w:rPr>
                <w:rFonts w:hint="eastAsia" w:eastAsia="仿宋"/>
                <w:color w:val="000000"/>
                <w:sz w:val="24"/>
              </w:rPr>
              <w:t>所示。</w:t>
            </w:r>
          </w:p>
          <w:p>
            <w:pPr>
              <w:jc w:val="center"/>
              <w:rPr>
                <w:b/>
              </w:rPr>
            </w:pPr>
            <w:r>
              <w:rPr>
                <w:b/>
                <w:szCs w:val="21"/>
              </w:rPr>
              <w:t>表7-</w:t>
            </w:r>
            <w:r>
              <w:rPr>
                <w:rFonts w:hint="eastAsia"/>
                <w:b/>
                <w:szCs w:val="21"/>
                <w:lang w:val="en-US" w:eastAsia="zh-CN"/>
              </w:rPr>
              <w:t>17</w:t>
            </w:r>
            <w:r>
              <w:rPr>
                <w:b/>
              </w:rPr>
              <w:t xml:space="preserve"> 建设项目危险废物贮存场所（设施）基本情况表</w:t>
            </w:r>
          </w:p>
          <w:tbl>
            <w:tblPr>
              <w:tblStyle w:val="40"/>
              <w:tblW w:w="90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353"/>
              <w:gridCol w:w="837"/>
              <w:gridCol w:w="988"/>
              <w:gridCol w:w="960"/>
              <w:gridCol w:w="1070"/>
              <w:gridCol w:w="848"/>
              <w:gridCol w:w="959"/>
              <w:gridCol w:w="1259"/>
              <w:gridCol w:w="658"/>
              <w:gridCol w:w="11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353"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序号</w:t>
                  </w:r>
                </w:p>
              </w:tc>
              <w:tc>
                <w:tcPr>
                  <w:tcW w:w="837"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贮存场所（设施）名称</w:t>
                  </w:r>
                </w:p>
              </w:tc>
              <w:tc>
                <w:tcPr>
                  <w:tcW w:w="988"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危险废物名称</w:t>
                  </w:r>
                </w:p>
              </w:tc>
              <w:tc>
                <w:tcPr>
                  <w:tcW w:w="96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危险废物类别</w:t>
                  </w:r>
                </w:p>
              </w:tc>
              <w:tc>
                <w:tcPr>
                  <w:tcW w:w="107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危险废物代码</w:t>
                  </w:r>
                </w:p>
              </w:tc>
              <w:tc>
                <w:tcPr>
                  <w:tcW w:w="848"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位置</w:t>
                  </w:r>
                </w:p>
              </w:tc>
              <w:tc>
                <w:tcPr>
                  <w:tcW w:w="959"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占地面积</w:t>
                  </w:r>
                </w:p>
              </w:tc>
              <w:tc>
                <w:tcPr>
                  <w:tcW w:w="1259"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贮存方式</w:t>
                  </w:r>
                </w:p>
              </w:tc>
              <w:tc>
                <w:tcPr>
                  <w:tcW w:w="658"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贮存</w:t>
                  </w:r>
                </w:p>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能力</w:t>
                  </w:r>
                </w:p>
              </w:tc>
              <w:tc>
                <w:tcPr>
                  <w:tcW w:w="112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贮存</w:t>
                  </w:r>
                </w:p>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周期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353"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w:t>
                  </w:r>
                </w:p>
              </w:tc>
              <w:tc>
                <w:tcPr>
                  <w:tcW w:w="837"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危废仓库</w:t>
                  </w:r>
                </w:p>
              </w:tc>
              <w:tc>
                <w:tcPr>
                  <w:tcW w:w="988"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废机油</w:t>
                  </w:r>
                </w:p>
              </w:tc>
              <w:tc>
                <w:tcPr>
                  <w:tcW w:w="96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HW08</w:t>
                  </w:r>
                </w:p>
              </w:tc>
              <w:tc>
                <w:tcPr>
                  <w:tcW w:w="107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900-214-49</w:t>
                  </w:r>
                </w:p>
              </w:tc>
              <w:tc>
                <w:tcPr>
                  <w:tcW w:w="848"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厂区西南侧</w:t>
                  </w:r>
                </w:p>
              </w:tc>
              <w:tc>
                <w:tcPr>
                  <w:tcW w:w="959"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2m</w:t>
                  </w:r>
                  <w:r>
                    <w:rPr>
                      <w:rFonts w:hint="eastAsia" w:ascii="Times New Roman" w:hAnsi="Times New Roman" w:eastAsia="宋体" w:cs="Times New Roman"/>
                      <w:color w:val="000000" w:themeColor="text1"/>
                      <w:kern w:val="0"/>
                      <w:szCs w:val="21"/>
                      <w:vertAlign w:val="superscript"/>
                    </w:rPr>
                    <w:t>2</w:t>
                  </w:r>
                </w:p>
              </w:tc>
              <w:tc>
                <w:tcPr>
                  <w:tcW w:w="1259"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密闭灌装</w:t>
                  </w:r>
                </w:p>
              </w:tc>
              <w:tc>
                <w:tcPr>
                  <w:tcW w:w="658"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1t</w:t>
                  </w:r>
                </w:p>
              </w:tc>
              <w:tc>
                <w:tcPr>
                  <w:tcW w:w="1120" w:type="dxa"/>
                  <w:vAlign w:val="center"/>
                </w:tcPr>
                <w:p>
                  <w:pPr>
                    <w:widowControl/>
                    <w:autoSpaceDE w:val="0"/>
                    <w:autoSpaceDN w:val="0"/>
                    <w:adjustRightIn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半年</w:t>
                  </w:r>
                </w:p>
              </w:tc>
            </w:tr>
          </w:tbl>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本评价要求该公司在安全处置危险废物方面做好以下工作：</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1）建设危废暂存间；</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2）危险废物临时贮存、管理要求：</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危险固体废物原则上不能在厂内长期贮存，对因天气及不可预测的特殊情况，不能及时收集、处置危险废物时，考虑在厂内设贮存库进行临时贮存。结合本项目危废特点，评价要求建设单位按照《危险废物贮存污染控制标准》（GB18597-2001）在厂房内建一危废暂存库，本项目危废暂存间位于</w:t>
            </w:r>
            <w:r>
              <w:rPr>
                <w:rFonts w:hint="eastAsia" w:ascii="Times New Roman" w:hAnsi="Times New Roman" w:eastAsia="宋体" w:cs="Times New Roman"/>
                <w:sz w:val="24"/>
                <w:szCs w:val="24"/>
              </w:rPr>
              <w:t>厂区西南侧侧</w:t>
            </w:r>
            <w:r>
              <w:rPr>
                <w:rFonts w:ascii="Times New Roman" w:hAnsi="Times New Roman" w:eastAsia="宋体" w:cs="Times New Roman"/>
                <w:sz w:val="24"/>
                <w:szCs w:val="24"/>
              </w:rPr>
              <w:t>，危废暂存间设计暂时存量为1t/a，能够满足本项目要求。</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3）危险废物贮存容器</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①应当使用符合标准的容器盛装危险废物；</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②装载危险废物的容器及材质要满足相应的强度要求；</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③装载危险废物的容器必须完好无损；</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④装载危险废物的容器材质和衬里要与危险废物相容（不相互反应）；</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⑤液体危险废物可注入开孔直径不超过70mm并有放气孔的桶中。</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4）危险废物暂存其他相关要求</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①用以存放装载液体、半固态危险废物容器的地方，必须有耐腐蚀的硬化地面，且表面无裂缝；</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②不相容的危险废物必须分开存放；</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③贮存容器必须加上标签；</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④定期对危险废物包装容器进行检查，发现破损，及时采取措施清理更换。</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危险废物暂存库严格按照《危险废物贮存污染控制标准》的要求进行设计和建设，设置地沟，并做好防雨、防腐和防渗“三防”措施。危险废物收集、暂存、转运应使用特定的容器，避免抛洒、外贱、渗漏等污染环境现象，要严格按照《危险废物贮存污染控制标准》（GB18597-2001）中有关要求进行管理，避免污染环境。</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⑤危废暂存间的设计要求</w:t>
            </w:r>
          </w:p>
          <w:p>
            <w:pPr>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本项目危废暂存间位于</w:t>
            </w:r>
            <w:r>
              <w:rPr>
                <w:rFonts w:hint="eastAsia" w:ascii="Times New Roman" w:hAnsi="Times New Roman" w:eastAsia="宋体" w:cs="Times New Roman"/>
                <w:sz w:val="24"/>
                <w:szCs w:val="24"/>
              </w:rPr>
              <w:t>厂区西南侧</w:t>
            </w:r>
            <w:r>
              <w:rPr>
                <w:rFonts w:ascii="Times New Roman" w:hAnsi="Times New Roman" w:eastAsia="宋体" w:cs="Times New Roman"/>
                <w:sz w:val="24"/>
                <w:szCs w:val="24"/>
              </w:rPr>
              <w:t>，地面要求为耐腐蚀硬化地面，且表面无裂缝；暂存库设计有堵截泄漏的裙脚、围堰、排水沟等设施，地面与裙角要用坚固、防渗的材料建造，建筑材料必须与危险废物相容。为防止危废暂存桶所在区的危险废物经地面渗漏污染地下水，因此评价要求对危废暂存间地面进行防腐防渗处理，防渗层为至少 1m 厚粘土层(渗透系数≤10-7cm/s)或 2mm 厚高密度聚乙烯，或至少 2mm 厚其的其他人工材料，渗透系数≤10-10cm/s。暂存库中设置泄露液体收集装置；堆放危险废物的高度应根据地 面承载能力确定；贮存设施内应有危险废物要放入符合标准的容器内，加上标签；设计堵截泄露的裙脚，地面与裙脚所围建的容积不低于堵截最大容器的最大储量或总量的1/5；暂存库中设置安全照明设施和观察窗口；不相容的危险废物必须分开存放，并设有隔离间隔断；危废储存库为砖混结构的封闭空间，以防风、防雨、防日晒。</w:t>
            </w:r>
          </w:p>
          <w:p>
            <w:pPr>
              <w:spacing w:line="50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在危废暂存期间应该：危险废物产生者和危险废物贮存设施经营者均须作好危险废物情况的记录，记录上须注明危险废物的名称、来源、数量、特性和包装容器的类别、入库日期、存放库位、废物出库日期及接收单位名称。危险废物的记录和货单在危险废物回取后应继续保留三年；危险废物贮存间需按照“双人双锁”制度管理；贮存危险废物不得超过一年，超过一年报环保部门审批；设置危险废物警示标志和危险废物标签；配备应急防护设施、消防设施。</w:t>
            </w:r>
          </w:p>
          <w:p>
            <w:pPr>
              <w:spacing w:line="500" w:lineRule="exact"/>
              <w:ind w:firstLine="420" w:firstLineChars="200"/>
              <w:rPr>
                <w:rFonts w:ascii="Times New Roman" w:hAnsi="Times New Roman" w:eastAsia="宋体" w:cs="Times New Roman"/>
                <w:sz w:val="24"/>
                <w:szCs w:val="24"/>
              </w:rPr>
            </w:pPr>
            <w:r>
              <w:drawing>
                <wp:anchor distT="0" distB="0" distL="114300" distR="114300" simplePos="0" relativeHeight="251655168" behindDoc="0" locked="0" layoutInCell="1" allowOverlap="1">
                  <wp:simplePos x="0" y="0"/>
                  <wp:positionH relativeFrom="column">
                    <wp:posOffset>1461135</wp:posOffset>
                  </wp:positionH>
                  <wp:positionV relativeFrom="paragraph">
                    <wp:posOffset>609600</wp:posOffset>
                  </wp:positionV>
                  <wp:extent cx="2637155" cy="1612900"/>
                  <wp:effectExtent l="0" t="0" r="10795" b="6350"/>
                  <wp:wrapNone/>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26"/>
                          <a:stretch>
                            <a:fillRect/>
                          </a:stretch>
                        </pic:blipFill>
                        <pic:spPr>
                          <a:xfrm>
                            <a:off x="0" y="0"/>
                            <a:ext cx="2637155" cy="1612900"/>
                          </a:xfrm>
                          <a:prstGeom prst="rect">
                            <a:avLst/>
                          </a:prstGeom>
                          <a:noFill/>
                          <a:ln>
                            <a:noFill/>
                          </a:ln>
                        </pic:spPr>
                      </pic:pic>
                    </a:graphicData>
                  </a:graphic>
                </wp:anchor>
              </w:drawing>
            </w:r>
            <w:r>
              <w:rPr>
                <w:rFonts w:ascii="Times New Roman" w:hAnsi="Times New Roman" w:eastAsia="宋体" w:cs="Times New Roman"/>
                <w:sz w:val="24"/>
                <w:szCs w:val="24"/>
              </w:rPr>
              <w:t>采取上述措施后，建设项目固体废物可得到妥善储存、合理利用、及时处理，对周围环境影响很小，不会对评价区造成影响。</w:t>
            </w:r>
          </w:p>
          <w:p>
            <w:pPr>
              <w:pStyle w:val="25"/>
            </w:pPr>
          </w:p>
          <w:p>
            <w:pPr>
              <w:spacing w:line="500" w:lineRule="exact"/>
              <w:ind w:firstLine="482" w:firstLineChars="200"/>
              <w:jc w:val="left"/>
              <w:rPr>
                <w:rFonts w:ascii="Times New Roman" w:hAnsi="Times New Roman" w:eastAsia="宋体" w:cs="Times New Roman"/>
                <w:b/>
                <w:color w:val="000000" w:themeColor="text1"/>
                <w:sz w:val="24"/>
                <w:szCs w:val="24"/>
              </w:rPr>
            </w:pPr>
          </w:p>
          <w:p>
            <w:pPr>
              <w:spacing w:line="500" w:lineRule="exact"/>
              <w:ind w:firstLine="482" w:firstLineChars="200"/>
              <w:jc w:val="left"/>
              <w:rPr>
                <w:rFonts w:ascii="Times New Roman" w:hAnsi="Times New Roman" w:eastAsia="宋体" w:cs="Times New Roman"/>
                <w:b/>
                <w:color w:val="000000" w:themeColor="text1"/>
                <w:sz w:val="24"/>
                <w:szCs w:val="24"/>
              </w:rPr>
            </w:pPr>
          </w:p>
          <w:p>
            <w:pPr>
              <w:spacing w:line="500" w:lineRule="exact"/>
              <w:ind w:firstLine="482" w:firstLineChars="200"/>
              <w:jc w:val="left"/>
              <w:rPr>
                <w:rFonts w:ascii="Times New Roman" w:hAnsi="Times New Roman" w:eastAsia="宋体" w:cs="Times New Roman"/>
                <w:b/>
                <w:color w:val="000000" w:themeColor="text1"/>
                <w:sz w:val="24"/>
                <w:szCs w:val="24"/>
              </w:rPr>
            </w:pPr>
          </w:p>
          <w:p>
            <w:pPr>
              <w:spacing w:line="500" w:lineRule="exact"/>
              <w:ind w:firstLine="482" w:firstLineChars="200"/>
              <w:jc w:val="left"/>
              <w:rPr>
                <w:rFonts w:ascii="Times New Roman" w:hAnsi="Times New Roman" w:eastAsia="宋体" w:cs="Times New Roman"/>
                <w:b/>
                <w:color w:val="000000" w:themeColor="text1"/>
                <w:sz w:val="24"/>
                <w:szCs w:val="24"/>
              </w:rPr>
            </w:pPr>
          </w:p>
          <w:p>
            <w:pPr>
              <w:spacing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5、生态环境影响分析</w:t>
            </w:r>
          </w:p>
          <w:p>
            <w:pPr>
              <w:adjustRightInd w:val="0"/>
              <w:snapToGrid w:val="0"/>
              <w:spacing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（1）粉尘对植物的危害</w:t>
            </w:r>
          </w:p>
          <w:p>
            <w:pPr>
              <w:adjustRightInd w:val="0"/>
              <w:snapToGrid w:val="0"/>
              <w:spacing w:before="78" w:beforeLines="25"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在产品加工及产品贮运过程中将产生粉尘。排放粉尘对植物的影响主要表现在对植物光合作用的影响上，粒径大于1um的颗粒物在扩散过程中可自然沉降，附着于植物叶片上，阻塞呼吸孔，有碍作物生长。</w:t>
            </w:r>
          </w:p>
          <w:p>
            <w:pPr>
              <w:adjustRightInd w:val="0"/>
              <w:snapToGrid w:val="0"/>
              <w:spacing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（2）污染物排放对动物的影响分析</w:t>
            </w:r>
          </w:p>
          <w:p>
            <w:pPr>
              <w:adjustRightInd w:val="0"/>
              <w:snapToGrid w:val="0"/>
              <w:spacing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在项目建成后，随着运营期的持续，项目所在地区周边的生态环境受人为活动的影响将会增加，导致原有生态环境结构发生一定调整，使陆生动物的栖息地环境缩小；生产过程中产生的噪声和振动会对动植物产生一定的影响。</w:t>
            </w:r>
          </w:p>
          <w:p>
            <w:pPr>
              <w:adjustRightInd w:val="0"/>
              <w:snapToGrid w:val="0"/>
              <w:spacing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营运期的污染物排放均会对动、植物造成有害影响。但区域总体上的植被数量、植物种类和群落分布以及动物区系的基本组成和性质不会发生大的变化。</w:t>
            </w:r>
          </w:p>
          <w:p>
            <w:pPr>
              <w:adjustRightInd w:val="0"/>
              <w:snapToGrid w:val="0"/>
              <w:spacing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为保护环境，该厂应加强厂区绿化工作，充分利用绿色植物在交换空气、改善环境、保持生态平衡等方面的重要作用。</w:t>
            </w:r>
          </w:p>
          <w:p>
            <w:pPr>
              <w:adjustRightInd w:val="0"/>
              <w:snapToGrid w:val="0"/>
              <w:spacing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为确保植物良好生长以达到改善环境的目的，选择绿化植物至关重要，应选择抗性强，具有一定净化能力、萌生能力强的绿化植物，如松柏、冬青等，做到常绿和落叶相结合、乔木和灌木相结合。绿化覆盖率应不得少于厂区用地面积的10%，为此应积极实施厂区绿化，同时应加强管理，保证植物的成活率。</w:t>
            </w:r>
          </w:p>
          <w:p>
            <w:pPr>
              <w:spacing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6、土壤影响评价</w:t>
            </w:r>
          </w:p>
          <w:p>
            <w:pPr>
              <w:pStyle w:val="14"/>
              <w:spacing w:line="500" w:lineRule="exact"/>
              <w:ind w:firstLine="480"/>
              <w:rPr>
                <w:rFonts w:eastAsiaTheme="minorEastAsia"/>
                <w:b/>
                <w:sz w:val="24"/>
                <w:szCs w:val="24"/>
              </w:rPr>
            </w:pPr>
            <w:r>
              <w:rPr>
                <w:rFonts w:eastAsiaTheme="minorEastAsia"/>
                <w:b/>
                <w:sz w:val="24"/>
                <w:szCs w:val="24"/>
              </w:rPr>
              <w:t>6.1建设项目分类</w:t>
            </w:r>
          </w:p>
          <w:p>
            <w:pPr>
              <w:pStyle w:val="14"/>
              <w:spacing w:line="500" w:lineRule="exact"/>
              <w:ind w:firstLine="480"/>
              <w:rPr>
                <w:rFonts w:eastAsiaTheme="minorEastAsia"/>
                <w:sz w:val="24"/>
                <w:szCs w:val="24"/>
              </w:rPr>
            </w:pPr>
            <w:r>
              <w:rPr>
                <w:rFonts w:eastAsiaTheme="minorEastAsia"/>
                <w:sz w:val="24"/>
                <w:szCs w:val="24"/>
              </w:rPr>
              <w:t>根据《环境影响评价技术导则 土壤环境（试行）》（HJ964-2018）附录A.1 土壤环境影响评价项目类别，</w:t>
            </w:r>
            <w:r>
              <w:rPr>
                <w:rFonts w:hint="eastAsia"/>
                <w:sz w:val="24"/>
              </w:rPr>
              <w:t>本项目属于“制造业”中的“其他”，为Ⅲ类项目</w:t>
            </w:r>
            <w:r>
              <w:rPr>
                <w:rFonts w:eastAsiaTheme="minorEastAsia"/>
                <w:sz w:val="24"/>
                <w:szCs w:val="24"/>
              </w:rPr>
              <w:t>。</w:t>
            </w:r>
          </w:p>
          <w:p>
            <w:pPr>
              <w:pStyle w:val="14"/>
              <w:spacing w:line="500" w:lineRule="exact"/>
              <w:ind w:firstLine="480"/>
              <w:rPr>
                <w:rFonts w:eastAsiaTheme="minorEastAsia"/>
                <w:b/>
                <w:sz w:val="24"/>
                <w:szCs w:val="24"/>
              </w:rPr>
            </w:pPr>
            <w:r>
              <w:rPr>
                <w:rFonts w:eastAsiaTheme="minorEastAsia"/>
                <w:b/>
                <w:sz w:val="24"/>
                <w:szCs w:val="24"/>
              </w:rPr>
              <w:t>6.2建设项目规模</w:t>
            </w:r>
          </w:p>
          <w:p>
            <w:pPr>
              <w:pStyle w:val="14"/>
              <w:spacing w:line="500" w:lineRule="exact"/>
              <w:ind w:firstLine="480"/>
              <w:rPr>
                <w:rFonts w:eastAsiaTheme="minorEastAsia"/>
                <w:sz w:val="24"/>
                <w:szCs w:val="24"/>
              </w:rPr>
            </w:pPr>
            <w:r>
              <w:rPr>
                <w:rFonts w:eastAsiaTheme="minorEastAsia"/>
                <w:sz w:val="24"/>
                <w:szCs w:val="24"/>
              </w:rPr>
              <w:t>建设项目占地规模分为大型（≥50hm</w:t>
            </w:r>
            <w:r>
              <w:rPr>
                <w:rFonts w:eastAsiaTheme="minorEastAsia"/>
                <w:sz w:val="24"/>
                <w:szCs w:val="24"/>
                <w:vertAlign w:val="superscript"/>
              </w:rPr>
              <w:t>2</w:t>
            </w:r>
            <w:r>
              <w:rPr>
                <w:rFonts w:eastAsiaTheme="minorEastAsia"/>
                <w:sz w:val="24"/>
                <w:szCs w:val="24"/>
              </w:rPr>
              <w:t>）、中型（5-50hm</w:t>
            </w:r>
            <w:r>
              <w:rPr>
                <w:rFonts w:eastAsiaTheme="minorEastAsia"/>
                <w:sz w:val="24"/>
                <w:szCs w:val="24"/>
                <w:vertAlign w:val="superscript"/>
              </w:rPr>
              <w:t>2</w:t>
            </w:r>
            <w:r>
              <w:rPr>
                <w:rFonts w:eastAsiaTheme="minorEastAsia"/>
                <w:sz w:val="24"/>
                <w:szCs w:val="24"/>
              </w:rPr>
              <w:t>）、小型（≤5hm</w:t>
            </w:r>
            <w:r>
              <w:rPr>
                <w:rFonts w:eastAsiaTheme="minorEastAsia"/>
                <w:sz w:val="24"/>
                <w:szCs w:val="24"/>
                <w:vertAlign w:val="superscript"/>
              </w:rPr>
              <w:t>2</w:t>
            </w:r>
            <w:r>
              <w:rPr>
                <w:rFonts w:eastAsiaTheme="minorEastAsia"/>
                <w:sz w:val="24"/>
                <w:szCs w:val="24"/>
              </w:rPr>
              <w:t>），本项目占地面积为</w:t>
            </w:r>
            <w:r>
              <w:rPr>
                <w:rFonts w:hint="eastAsia" w:eastAsiaTheme="minorEastAsia"/>
                <w:sz w:val="24"/>
                <w:szCs w:val="24"/>
              </w:rPr>
              <w:t>5927</w:t>
            </w:r>
            <w:r>
              <w:rPr>
                <w:rFonts w:eastAsiaTheme="minorEastAsia"/>
                <w:sz w:val="24"/>
                <w:szCs w:val="24"/>
              </w:rPr>
              <w:t>m</w:t>
            </w:r>
            <w:r>
              <w:rPr>
                <w:rFonts w:eastAsiaTheme="minorEastAsia"/>
                <w:sz w:val="24"/>
                <w:szCs w:val="24"/>
                <w:vertAlign w:val="superscript"/>
              </w:rPr>
              <w:t>2</w:t>
            </w:r>
            <w:r>
              <w:rPr>
                <w:rFonts w:eastAsiaTheme="minorEastAsia"/>
                <w:sz w:val="24"/>
                <w:szCs w:val="24"/>
              </w:rPr>
              <w:t>，占地规模为小型。</w:t>
            </w:r>
          </w:p>
          <w:p>
            <w:pPr>
              <w:pStyle w:val="14"/>
              <w:spacing w:line="500" w:lineRule="exact"/>
              <w:ind w:firstLine="480"/>
              <w:rPr>
                <w:rFonts w:eastAsiaTheme="minorEastAsia"/>
                <w:b/>
                <w:sz w:val="24"/>
                <w:szCs w:val="24"/>
              </w:rPr>
            </w:pPr>
            <w:r>
              <w:rPr>
                <w:rFonts w:eastAsiaTheme="minorEastAsia"/>
                <w:b/>
                <w:sz w:val="24"/>
                <w:szCs w:val="24"/>
              </w:rPr>
              <w:t>6.3土壤环境敏感程度</w:t>
            </w:r>
          </w:p>
          <w:p>
            <w:pPr>
              <w:spacing w:line="500" w:lineRule="exact"/>
              <w:jc w:val="center"/>
              <w:rPr>
                <w:rFonts w:ascii="Times New Roman" w:hAnsi="Times New Roman" w:cs="Times New Roman"/>
                <w:b/>
                <w:bCs/>
                <w:sz w:val="24"/>
                <w:szCs w:val="24"/>
              </w:rPr>
            </w:pPr>
            <w:r>
              <w:rPr>
                <w:rFonts w:ascii="Times New Roman" w:hAnsi="Times New Roman" w:cs="Times New Roman"/>
                <w:b/>
                <w:bCs/>
                <w:sz w:val="24"/>
                <w:szCs w:val="24"/>
              </w:rPr>
              <w:t>表7-</w:t>
            </w:r>
            <w:r>
              <w:rPr>
                <w:rFonts w:hint="eastAsia" w:ascii="Times New Roman" w:hAnsi="Times New Roman" w:cs="Times New Roman"/>
                <w:b/>
                <w:bCs/>
                <w:sz w:val="24"/>
                <w:szCs w:val="24"/>
              </w:rPr>
              <w:t>1</w:t>
            </w:r>
            <w:r>
              <w:rPr>
                <w:rFonts w:hint="eastAsia" w:ascii="Times New Roman" w:hAnsi="Times New Roman" w:cs="Times New Roman"/>
                <w:b/>
                <w:bCs/>
                <w:sz w:val="24"/>
                <w:szCs w:val="24"/>
                <w:lang w:val="en-US" w:eastAsia="zh-CN"/>
              </w:rPr>
              <w:t>8</w:t>
            </w:r>
            <w:r>
              <w:rPr>
                <w:rFonts w:ascii="Times New Roman" w:hAnsi="Times New Roman" w:cs="Times New Roman"/>
                <w:b/>
                <w:bCs/>
                <w:sz w:val="24"/>
                <w:szCs w:val="24"/>
              </w:rPr>
              <w:t>污染影响型敏感程度分级表</w:t>
            </w:r>
          </w:p>
          <w:tbl>
            <w:tblPr>
              <w:tblStyle w:val="40"/>
              <w:tblW w:w="90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12"/>
              <w:gridCol w:w="75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1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敏感程度</w:t>
                  </w:r>
                </w:p>
              </w:tc>
              <w:tc>
                <w:tcPr>
                  <w:tcW w:w="755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判别依据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1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敏感</w:t>
                  </w:r>
                </w:p>
              </w:tc>
              <w:tc>
                <w:tcPr>
                  <w:tcW w:w="755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建设项目周边存在耕地、园地、牧草地、饮用水水源地或居民区、学校、医院、疗养院、养老院等土壤环境敏感目标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1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较敏感</w:t>
                  </w:r>
                </w:p>
              </w:tc>
              <w:tc>
                <w:tcPr>
                  <w:tcW w:w="755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建设项目周边存在其他土壤环境敏感目标的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1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不敏感</w:t>
                  </w:r>
                </w:p>
              </w:tc>
              <w:tc>
                <w:tcPr>
                  <w:tcW w:w="755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其他情况</w:t>
                  </w:r>
                </w:p>
              </w:tc>
            </w:tr>
          </w:tbl>
          <w:p>
            <w:pPr>
              <w:pStyle w:val="14"/>
              <w:spacing w:line="500" w:lineRule="exact"/>
              <w:ind w:firstLine="480"/>
              <w:rPr>
                <w:rFonts w:eastAsiaTheme="minorEastAsia"/>
                <w:sz w:val="24"/>
                <w:szCs w:val="24"/>
              </w:rPr>
            </w:pPr>
            <w:r>
              <w:rPr>
                <w:rFonts w:eastAsiaTheme="minorEastAsia"/>
                <w:sz w:val="24"/>
                <w:szCs w:val="24"/>
              </w:rPr>
              <w:t xml:space="preserve">本项目周围存在耕地，土壤环境敏感程度为敏感。 </w:t>
            </w:r>
          </w:p>
          <w:p>
            <w:pPr>
              <w:pStyle w:val="14"/>
              <w:spacing w:line="500" w:lineRule="exact"/>
              <w:ind w:firstLine="480"/>
              <w:rPr>
                <w:rFonts w:eastAsiaTheme="minorEastAsia"/>
                <w:b/>
                <w:sz w:val="24"/>
                <w:szCs w:val="24"/>
              </w:rPr>
            </w:pPr>
            <w:r>
              <w:rPr>
                <w:rFonts w:eastAsiaTheme="minorEastAsia"/>
                <w:b/>
                <w:sz w:val="24"/>
                <w:szCs w:val="24"/>
              </w:rPr>
              <w:t>6.4污染影响型评价工作等级划分</w:t>
            </w:r>
          </w:p>
          <w:p>
            <w:pPr>
              <w:pStyle w:val="14"/>
              <w:spacing w:line="500" w:lineRule="exact"/>
              <w:ind w:firstLine="480"/>
              <w:rPr>
                <w:rFonts w:eastAsiaTheme="minorEastAsia"/>
                <w:sz w:val="24"/>
                <w:szCs w:val="24"/>
              </w:rPr>
            </w:pPr>
            <w:r>
              <w:rPr>
                <w:rFonts w:eastAsiaTheme="minorEastAsia"/>
                <w:sz w:val="24"/>
                <w:szCs w:val="24"/>
              </w:rPr>
              <w:t>根据土壤环境影响评价项目类别、占地规模与敏感程度划分评价工作等级见表</w:t>
            </w:r>
            <w:r>
              <w:rPr>
                <w:rFonts w:hint="eastAsia" w:eastAsiaTheme="minorEastAsia"/>
                <w:sz w:val="24"/>
                <w:szCs w:val="24"/>
              </w:rPr>
              <w:t>7-1</w:t>
            </w:r>
            <w:r>
              <w:rPr>
                <w:rFonts w:hint="eastAsia" w:eastAsiaTheme="minorEastAsia"/>
                <w:sz w:val="24"/>
                <w:szCs w:val="24"/>
                <w:lang w:val="en-US" w:eastAsia="zh-CN"/>
              </w:rPr>
              <w:t>9</w:t>
            </w:r>
            <w:r>
              <w:rPr>
                <w:rFonts w:eastAsiaTheme="minorEastAsia"/>
                <w:sz w:val="24"/>
                <w:szCs w:val="24"/>
              </w:rPr>
              <w:t>。</w:t>
            </w:r>
          </w:p>
          <w:p>
            <w:pPr>
              <w:pStyle w:val="14"/>
              <w:spacing w:line="500" w:lineRule="exact"/>
              <w:ind w:firstLine="480"/>
              <w:jc w:val="center"/>
              <w:rPr>
                <w:rFonts w:eastAsiaTheme="minorEastAsia"/>
                <w:b/>
                <w:sz w:val="24"/>
                <w:szCs w:val="24"/>
              </w:rPr>
            </w:pPr>
            <w:r>
              <w:rPr>
                <w:rFonts w:eastAsiaTheme="minorEastAsia"/>
                <w:b/>
                <w:sz w:val="24"/>
                <w:szCs w:val="24"/>
              </w:rPr>
              <w:t>表7-1</w:t>
            </w:r>
            <w:r>
              <w:rPr>
                <w:rFonts w:hint="eastAsia" w:eastAsiaTheme="minorEastAsia"/>
                <w:b/>
                <w:sz w:val="24"/>
                <w:szCs w:val="24"/>
                <w:lang w:val="en-US" w:eastAsia="zh-CN"/>
              </w:rPr>
              <w:t>9</w:t>
            </w:r>
            <w:r>
              <w:rPr>
                <w:rFonts w:eastAsiaTheme="minorEastAsia"/>
                <w:b/>
                <w:sz w:val="24"/>
                <w:szCs w:val="24"/>
              </w:rPr>
              <w:t>污染影响型评价工作等级划分表</w:t>
            </w:r>
          </w:p>
          <w:tbl>
            <w:tblPr>
              <w:tblStyle w:val="40"/>
              <w:tblW w:w="90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45"/>
              <w:gridCol w:w="741"/>
              <w:gridCol w:w="889"/>
              <w:gridCol w:w="701"/>
              <w:gridCol w:w="977"/>
              <w:gridCol w:w="838"/>
              <w:gridCol w:w="839"/>
              <w:gridCol w:w="838"/>
              <w:gridCol w:w="767"/>
              <w:gridCol w:w="9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64" w:hRule="atLeast"/>
                <w:jc w:val="center"/>
              </w:trPr>
              <w:tc>
                <w:tcPr>
                  <w:tcW w:w="1545" w:type="dxa"/>
                  <w:tcBorders>
                    <w:tl2br w:val="nil"/>
                    <w:tr2bl w:val="nil"/>
                  </w:tcBorders>
                  <w:vAlign w:val="center"/>
                </w:tcPr>
                <w:p>
                  <w:pPr>
                    <w:pStyle w:val="14"/>
                    <w:spacing w:line="240" w:lineRule="auto"/>
                    <w:jc w:val="center"/>
                    <w:rPr>
                      <w:rFonts w:eastAsiaTheme="minorEastAsia"/>
                      <w:kern w:val="2"/>
                      <w:sz w:val="21"/>
                      <w:szCs w:val="21"/>
                    </w:rPr>
                  </w:pPr>
                  <w:r>
                    <w:rPr>
                      <w:rFonts w:eastAsiaTheme="minorEastAsia"/>
                      <w:kern w:val="2"/>
                      <w:sz w:val="21"/>
                      <w:szCs w:val="21"/>
                    </w:rPr>
                    <w:t>占地规模</w:t>
                  </w:r>
                </w:p>
                <w:p>
                  <w:pPr>
                    <w:pStyle w:val="14"/>
                    <w:spacing w:line="240" w:lineRule="auto"/>
                    <w:ind w:firstLine="0"/>
                    <w:jc w:val="center"/>
                    <w:rPr>
                      <w:rFonts w:eastAsiaTheme="minorEastAsia"/>
                      <w:kern w:val="2"/>
                      <w:sz w:val="21"/>
                      <w:szCs w:val="21"/>
                    </w:rPr>
                  </w:pPr>
                  <w:r>
                    <w:rPr>
                      <w:rFonts w:eastAsiaTheme="minorEastAsia"/>
                      <w:kern w:val="2"/>
                      <w:sz w:val="21"/>
                      <w:szCs w:val="21"/>
                    </w:rPr>
                    <w:t>评价工作等级</w:t>
                  </w:r>
                </w:p>
              </w:tc>
              <w:tc>
                <w:tcPr>
                  <w:tcW w:w="2331" w:type="dxa"/>
                  <w:gridSpan w:val="3"/>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Ⅰ类</w:t>
                  </w:r>
                </w:p>
              </w:tc>
              <w:tc>
                <w:tcPr>
                  <w:tcW w:w="2654" w:type="dxa"/>
                  <w:gridSpan w:val="3"/>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Ⅱ类</w:t>
                  </w:r>
                </w:p>
              </w:tc>
              <w:tc>
                <w:tcPr>
                  <w:tcW w:w="2510" w:type="dxa"/>
                  <w:gridSpan w:val="3"/>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Ⅲ类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545"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敏感程度</w:t>
                  </w:r>
                </w:p>
              </w:tc>
              <w:tc>
                <w:tcPr>
                  <w:tcW w:w="741"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大</w:t>
                  </w:r>
                </w:p>
              </w:tc>
              <w:tc>
                <w:tcPr>
                  <w:tcW w:w="889"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中</w:t>
                  </w:r>
                </w:p>
              </w:tc>
              <w:tc>
                <w:tcPr>
                  <w:tcW w:w="701"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小</w:t>
                  </w:r>
                </w:p>
              </w:tc>
              <w:tc>
                <w:tcPr>
                  <w:tcW w:w="977"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大</w:t>
                  </w:r>
                </w:p>
              </w:tc>
              <w:tc>
                <w:tcPr>
                  <w:tcW w:w="838"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中</w:t>
                  </w:r>
                </w:p>
              </w:tc>
              <w:tc>
                <w:tcPr>
                  <w:tcW w:w="839"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小</w:t>
                  </w:r>
                </w:p>
              </w:tc>
              <w:tc>
                <w:tcPr>
                  <w:tcW w:w="838"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大</w:t>
                  </w:r>
                </w:p>
              </w:tc>
              <w:tc>
                <w:tcPr>
                  <w:tcW w:w="767"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中</w:t>
                  </w:r>
                </w:p>
              </w:tc>
              <w:tc>
                <w:tcPr>
                  <w:tcW w:w="905"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545"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敏感</w:t>
                  </w:r>
                </w:p>
              </w:tc>
              <w:tc>
                <w:tcPr>
                  <w:tcW w:w="741"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一级</w:t>
                  </w:r>
                </w:p>
              </w:tc>
              <w:tc>
                <w:tcPr>
                  <w:tcW w:w="889"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一级</w:t>
                  </w:r>
                </w:p>
              </w:tc>
              <w:tc>
                <w:tcPr>
                  <w:tcW w:w="701"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一级</w:t>
                  </w:r>
                </w:p>
              </w:tc>
              <w:tc>
                <w:tcPr>
                  <w:tcW w:w="977"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838"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839"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838"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三级</w:t>
                  </w:r>
                </w:p>
              </w:tc>
              <w:tc>
                <w:tcPr>
                  <w:tcW w:w="767"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三级</w:t>
                  </w:r>
                </w:p>
              </w:tc>
              <w:tc>
                <w:tcPr>
                  <w:tcW w:w="905" w:type="dxa"/>
                  <w:tcBorders>
                    <w:tl2br w:val="nil"/>
                    <w:tr2bl w:val="nil"/>
                  </w:tcBorders>
                  <w:vAlign w:val="center"/>
                </w:tcPr>
                <w:p>
                  <w:pPr>
                    <w:pStyle w:val="14"/>
                    <w:spacing w:line="240" w:lineRule="auto"/>
                    <w:ind w:firstLine="0"/>
                    <w:jc w:val="center"/>
                    <w:rPr>
                      <w:rFonts w:eastAsiaTheme="minorEastAsia"/>
                      <w:kern w:val="2"/>
                      <w:sz w:val="21"/>
                      <w:szCs w:val="21"/>
                      <w:highlight w:val="red"/>
                    </w:rPr>
                  </w:pPr>
                  <w:r>
                    <w:rPr>
                      <w:rFonts w:eastAsiaTheme="minorEastAsia"/>
                      <w:kern w:val="2"/>
                      <w:sz w:val="21"/>
                      <w:szCs w:val="21"/>
                      <w:highlight w:val="red"/>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545"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较敏感</w:t>
                  </w:r>
                </w:p>
              </w:tc>
              <w:tc>
                <w:tcPr>
                  <w:tcW w:w="741"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一级</w:t>
                  </w:r>
                </w:p>
              </w:tc>
              <w:tc>
                <w:tcPr>
                  <w:tcW w:w="889"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一级</w:t>
                  </w:r>
                </w:p>
              </w:tc>
              <w:tc>
                <w:tcPr>
                  <w:tcW w:w="701"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977"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838"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839"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三级</w:t>
                  </w:r>
                </w:p>
              </w:tc>
              <w:tc>
                <w:tcPr>
                  <w:tcW w:w="838"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三级</w:t>
                  </w:r>
                </w:p>
              </w:tc>
              <w:tc>
                <w:tcPr>
                  <w:tcW w:w="767"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三级</w:t>
                  </w:r>
                </w:p>
              </w:tc>
              <w:tc>
                <w:tcPr>
                  <w:tcW w:w="905"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545"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不敏感</w:t>
                  </w:r>
                </w:p>
              </w:tc>
              <w:tc>
                <w:tcPr>
                  <w:tcW w:w="741"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一级</w:t>
                  </w:r>
                </w:p>
              </w:tc>
              <w:tc>
                <w:tcPr>
                  <w:tcW w:w="889"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701"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977"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二级</w:t>
                  </w:r>
                </w:p>
              </w:tc>
              <w:tc>
                <w:tcPr>
                  <w:tcW w:w="838"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三级</w:t>
                  </w:r>
                </w:p>
              </w:tc>
              <w:tc>
                <w:tcPr>
                  <w:tcW w:w="839"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三级</w:t>
                  </w:r>
                </w:p>
              </w:tc>
              <w:tc>
                <w:tcPr>
                  <w:tcW w:w="838"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三级</w:t>
                  </w:r>
                </w:p>
              </w:tc>
              <w:tc>
                <w:tcPr>
                  <w:tcW w:w="767"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w:t>
                  </w:r>
                </w:p>
              </w:tc>
              <w:tc>
                <w:tcPr>
                  <w:tcW w:w="905" w:type="dxa"/>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9040" w:type="dxa"/>
                  <w:gridSpan w:val="10"/>
                  <w:tcBorders>
                    <w:tl2br w:val="nil"/>
                    <w:tr2bl w:val="nil"/>
                  </w:tcBorders>
                  <w:vAlign w:val="center"/>
                </w:tcPr>
                <w:p>
                  <w:pPr>
                    <w:pStyle w:val="14"/>
                    <w:spacing w:line="240" w:lineRule="auto"/>
                    <w:ind w:firstLine="0"/>
                    <w:jc w:val="center"/>
                    <w:rPr>
                      <w:rFonts w:eastAsiaTheme="minorEastAsia"/>
                      <w:kern w:val="2"/>
                      <w:sz w:val="21"/>
                      <w:szCs w:val="21"/>
                    </w:rPr>
                  </w:pPr>
                  <w:r>
                    <w:rPr>
                      <w:rFonts w:eastAsiaTheme="minorEastAsia"/>
                      <w:kern w:val="2"/>
                      <w:sz w:val="21"/>
                      <w:szCs w:val="21"/>
                    </w:rPr>
                    <w:t>注：“-”表示可不开展土壤环境影响评价工作。</w:t>
                  </w:r>
                </w:p>
              </w:tc>
            </w:tr>
          </w:tbl>
          <w:p>
            <w:pPr>
              <w:pStyle w:val="14"/>
              <w:spacing w:line="500" w:lineRule="exact"/>
              <w:ind w:firstLine="480"/>
              <w:rPr>
                <w:rFonts w:eastAsiaTheme="minorEastAsia"/>
                <w:sz w:val="24"/>
                <w:szCs w:val="24"/>
              </w:rPr>
            </w:pPr>
            <w:r>
              <w:rPr>
                <w:rFonts w:eastAsiaTheme="minorEastAsia"/>
                <w:sz w:val="24"/>
                <w:szCs w:val="24"/>
              </w:rPr>
              <w:t>综上所述，本项目土壤影响评价工作等级为三级。</w:t>
            </w:r>
          </w:p>
          <w:p>
            <w:pPr>
              <w:pStyle w:val="14"/>
              <w:spacing w:line="500" w:lineRule="exact"/>
              <w:ind w:firstLine="480"/>
              <w:rPr>
                <w:rFonts w:eastAsiaTheme="minorEastAsia"/>
                <w:b/>
                <w:sz w:val="24"/>
                <w:szCs w:val="24"/>
              </w:rPr>
            </w:pPr>
            <w:r>
              <w:rPr>
                <w:rFonts w:eastAsiaTheme="minorEastAsia"/>
                <w:b/>
                <w:sz w:val="24"/>
                <w:szCs w:val="24"/>
              </w:rPr>
              <w:t>6.5现状调查</w:t>
            </w:r>
          </w:p>
          <w:p>
            <w:pPr>
              <w:pStyle w:val="14"/>
              <w:spacing w:line="500" w:lineRule="exact"/>
              <w:ind w:firstLine="480"/>
              <w:rPr>
                <w:rFonts w:eastAsiaTheme="minorEastAsia"/>
                <w:sz w:val="24"/>
                <w:szCs w:val="24"/>
              </w:rPr>
            </w:pPr>
            <w:r>
              <w:rPr>
                <w:rFonts w:eastAsiaTheme="minorEastAsia"/>
                <w:sz w:val="24"/>
                <w:szCs w:val="24"/>
              </w:rPr>
              <w:t>本项目为污染影响型，调查评价范围为厂区周边50m范围内。</w:t>
            </w:r>
          </w:p>
          <w:p>
            <w:pPr>
              <w:pStyle w:val="14"/>
              <w:spacing w:line="500" w:lineRule="exact"/>
              <w:ind w:firstLine="480"/>
              <w:rPr>
                <w:rFonts w:eastAsiaTheme="minorEastAsia"/>
                <w:sz w:val="24"/>
                <w:szCs w:val="24"/>
              </w:rPr>
            </w:pPr>
            <w:r>
              <w:rPr>
                <w:rFonts w:eastAsiaTheme="minorEastAsia"/>
                <w:sz w:val="24"/>
                <w:szCs w:val="24"/>
              </w:rPr>
              <w:t>经调查项目占地及周边无如让污染源，根据现状监测，项目区域土壤环境较好。</w:t>
            </w:r>
          </w:p>
          <w:p>
            <w:pPr>
              <w:pStyle w:val="14"/>
              <w:spacing w:line="500" w:lineRule="exact"/>
              <w:ind w:firstLine="480"/>
              <w:rPr>
                <w:rFonts w:eastAsiaTheme="minorEastAsia"/>
                <w:b/>
                <w:sz w:val="24"/>
                <w:szCs w:val="24"/>
              </w:rPr>
            </w:pPr>
            <w:r>
              <w:rPr>
                <w:rFonts w:eastAsiaTheme="minorEastAsia"/>
                <w:b/>
                <w:sz w:val="24"/>
                <w:szCs w:val="24"/>
              </w:rPr>
              <w:t>6.6土壤环境影响评价</w:t>
            </w:r>
          </w:p>
          <w:p>
            <w:pPr>
              <w:adjustRightInd w:val="0"/>
              <w:snapToGrid w:val="0"/>
              <w:spacing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土壤污染是指人类活动所产生的物质(污染物)，通过各种途径进入土壤，其数量和速度超过了土壤的容纳能力和净化速度的现象。土壤污染可使土壤的性质、组成及性状等发生变化，使污染物质的积累过程逐渐占据优势，破坏土壤的自然动态平衡，从而导致土壤自然正常功能失调，土壤质量恶化，影响作物的生长发育，以致造成产量和质量的下降，并可通过食物链危害生物和人类健康。</w:t>
            </w:r>
          </w:p>
          <w:p>
            <w:pPr>
              <w:pStyle w:val="14"/>
              <w:spacing w:line="500" w:lineRule="exact"/>
              <w:ind w:firstLine="480"/>
              <w:rPr>
                <w:rFonts w:eastAsiaTheme="minorEastAsia"/>
                <w:sz w:val="24"/>
                <w:szCs w:val="24"/>
              </w:rPr>
            </w:pPr>
            <w:r>
              <w:rPr>
                <w:rFonts w:eastAsiaTheme="minorEastAsia"/>
                <w:sz w:val="24"/>
                <w:szCs w:val="24"/>
              </w:rPr>
              <w:t>本次评价在工程分析结果的基础上，结合土壤环境敏感目标，根据建设项目建设期、运营期和服务期满后三个阶段的具体特征，识别土壤环境影响类型与影响途径。识别结果见表7-</w:t>
            </w:r>
            <w:r>
              <w:rPr>
                <w:rFonts w:hint="eastAsia" w:eastAsiaTheme="minorEastAsia"/>
                <w:sz w:val="24"/>
                <w:szCs w:val="24"/>
                <w:lang w:val="en-US" w:eastAsia="zh-CN"/>
              </w:rPr>
              <w:t>20</w:t>
            </w:r>
            <w:r>
              <w:rPr>
                <w:rFonts w:eastAsiaTheme="minorEastAsia"/>
                <w:sz w:val="24"/>
                <w:szCs w:val="24"/>
              </w:rPr>
              <w:t>。</w:t>
            </w:r>
          </w:p>
          <w:p>
            <w:pPr>
              <w:pStyle w:val="245"/>
              <w:spacing w:before="78" w:line="500" w:lineRule="exact"/>
              <w:ind w:firstLine="0" w:firstLineChars="0"/>
              <w:jc w:val="center"/>
              <w:rPr>
                <w:rFonts w:cs="Times New Roman"/>
                <w:b/>
                <w:bCs/>
              </w:rPr>
            </w:pPr>
            <w:r>
              <w:rPr>
                <w:rFonts w:cs="Times New Roman"/>
                <w:b/>
                <w:bCs/>
              </w:rPr>
              <w:t>表7-</w:t>
            </w:r>
            <w:r>
              <w:rPr>
                <w:rFonts w:hint="eastAsia" w:cs="Times New Roman"/>
                <w:b/>
                <w:bCs/>
                <w:lang w:val="en-US" w:eastAsia="zh-CN"/>
              </w:rPr>
              <w:t>20</w:t>
            </w:r>
            <w:r>
              <w:rPr>
                <w:rFonts w:cs="Times New Roman"/>
                <w:b/>
                <w:bCs/>
              </w:rPr>
              <w:t xml:space="preserve">  建设项目土壤环境影响类型与影响途径表</w:t>
            </w:r>
          </w:p>
          <w:tbl>
            <w:tblPr>
              <w:tblStyle w:val="40"/>
              <w:tblW w:w="9056" w:type="dxa"/>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1457"/>
              <w:gridCol w:w="1218"/>
              <w:gridCol w:w="1205"/>
              <w:gridCol w:w="1149"/>
              <w:gridCol w:w="810"/>
              <w:gridCol w:w="904"/>
              <w:gridCol w:w="752"/>
              <w:gridCol w:w="755"/>
              <w:gridCol w:w="80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86" w:hRule="atLeast"/>
                <w:jc w:val="center"/>
              </w:trPr>
              <w:tc>
                <w:tcPr>
                  <w:tcW w:w="1457" w:type="dxa"/>
                  <w:vMerge w:val="restart"/>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不同时段</w:t>
                  </w:r>
                </w:p>
              </w:tc>
              <w:tc>
                <w:tcPr>
                  <w:tcW w:w="4382" w:type="dxa"/>
                  <w:gridSpan w:val="4"/>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污染影响型</w:t>
                  </w:r>
                </w:p>
              </w:tc>
              <w:tc>
                <w:tcPr>
                  <w:tcW w:w="3217" w:type="dxa"/>
                  <w:gridSpan w:val="4"/>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生态影响型</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86" w:hRule="atLeast"/>
                <w:jc w:val="center"/>
              </w:trPr>
              <w:tc>
                <w:tcPr>
                  <w:tcW w:w="1457" w:type="dxa"/>
                  <w:vMerge w:val="continue"/>
                  <w:tcBorders>
                    <w:tl2br w:val="nil"/>
                    <w:tr2bl w:val="nil"/>
                  </w:tcBorders>
                  <w:vAlign w:val="center"/>
                </w:tcPr>
                <w:p>
                  <w:pPr>
                    <w:widowControl/>
                    <w:jc w:val="left"/>
                    <w:rPr>
                      <w:rFonts w:ascii="Times New Roman" w:hAnsi="Times New Roman" w:cs="Times New Roman"/>
                      <w:b/>
                      <w:szCs w:val="21"/>
                    </w:rPr>
                  </w:pPr>
                </w:p>
              </w:tc>
              <w:tc>
                <w:tcPr>
                  <w:tcW w:w="1218"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大气沉降</w:t>
                  </w:r>
                </w:p>
              </w:tc>
              <w:tc>
                <w:tcPr>
                  <w:tcW w:w="1205"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地面漫流</w:t>
                  </w:r>
                </w:p>
              </w:tc>
              <w:tc>
                <w:tcPr>
                  <w:tcW w:w="1149"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垂直入渗</w:t>
                  </w:r>
                </w:p>
              </w:tc>
              <w:tc>
                <w:tcPr>
                  <w:tcW w:w="810"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其他</w:t>
                  </w:r>
                </w:p>
              </w:tc>
              <w:tc>
                <w:tcPr>
                  <w:tcW w:w="904"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盐化</w:t>
                  </w:r>
                </w:p>
              </w:tc>
              <w:tc>
                <w:tcPr>
                  <w:tcW w:w="752"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碱化</w:t>
                  </w:r>
                </w:p>
              </w:tc>
              <w:tc>
                <w:tcPr>
                  <w:tcW w:w="755"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酸化</w:t>
                  </w:r>
                </w:p>
              </w:tc>
              <w:tc>
                <w:tcPr>
                  <w:tcW w:w="806" w:type="dxa"/>
                  <w:tcBorders>
                    <w:tl2br w:val="nil"/>
                    <w:tr2bl w:val="nil"/>
                  </w:tcBorders>
                  <w:vAlign w:val="center"/>
                </w:tcPr>
                <w:p>
                  <w:pPr>
                    <w:jc w:val="center"/>
                    <w:rPr>
                      <w:rFonts w:ascii="Times New Roman" w:hAnsi="Times New Roman" w:cs="Times New Roman"/>
                      <w:b/>
                      <w:szCs w:val="21"/>
                    </w:rPr>
                  </w:pPr>
                  <w:r>
                    <w:rPr>
                      <w:rFonts w:ascii="Times New Roman" w:hAnsi="Times New Roman" w:cs="Times New Roman"/>
                      <w:b/>
                      <w:kern w:val="0"/>
                      <w:szCs w:val="21"/>
                    </w:rPr>
                    <w:t>其他</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86" w:hRule="atLeast"/>
                <w:jc w:val="center"/>
              </w:trPr>
              <w:tc>
                <w:tcPr>
                  <w:tcW w:w="1457" w:type="dxa"/>
                  <w:tcBorders>
                    <w:tl2br w:val="nil"/>
                    <w:tr2bl w:val="nil"/>
                  </w:tcBorders>
                  <w:vAlign w:val="center"/>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建设期</w:t>
                  </w:r>
                </w:p>
              </w:tc>
              <w:tc>
                <w:tcPr>
                  <w:tcW w:w="1218" w:type="dxa"/>
                  <w:tcBorders>
                    <w:tl2br w:val="nil"/>
                    <w:tr2bl w:val="nil"/>
                  </w:tcBorders>
                  <w:vAlign w:val="center"/>
                </w:tcPr>
                <w:p>
                  <w:pPr>
                    <w:jc w:val="center"/>
                    <w:rPr>
                      <w:rFonts w:ascii="Times New Roman" w:hAnsi="Times New Roman" w:cs="Times New Roman"/>
                      <w:szCs w:val="21"/>
                    </w:rPr>
                  </w:pPr>
                </w:p>
              </w:tc>
              <w:tc>
                <w:tcPr>
                  <w:tcW w:w="1205" w:type="dxa"/>
                  <w:tcBorders>
                    <w:tl2br w:val="nil"/>
                    <w:tr2bl w:val="nil"/>
                  </w:tcBorders>
                  <w:vAlign w:val="center"/>
                </w:tcPr>
                <w:p>
                  <w:pPr>
                    <w:jc w:val="center"/>
                    <w:rPr>
                      <w:rFonts w:ascii="Times New Roman" w:hAnsi="Times New Roman" w:cs="Times New Roman"/>
                      <w:szCs w:val="21"/>
                    </w:rPr>
                  </w:pPr>
                </w:p>
              </w:tc>
              <w:tc>
                <w:tcPr>
                  <w:tcW w:w="1149" w:type="dxa"/>
                  <w:tcBorders>
                    <w:tl2br w:val="nil"/>
                    <w:tr2bl w:val="nil"/>
                  </w:tcBorders>
                  <w:vAlign w:val="center"/>
                </w:tcPr>
                <w:p>
                  <w:pPr>
                    <w:jc w:val="center"/>
                    <w:rPr>
                      <w:rFonts w:ascii="Times New Roman" w:hAnsi="Times New Roman" w:cs="Times New Roman"/>
                      <w:szCs w:val="21"/>
                    </w:rPr>
                  </w:pPr>
                </w:p>
              </w:tc>
              <w:tc>
                <w:tcPr>
                  <w:tcW w:w="810" w:type="dxa"/>
                  <w:tcBorders>
                    <w:tl2br w:val="nil"/>
                    <w:tr2bl w:val="nil"/>
                  </w:tcBorders>
                  <w:vAlign w:val="center"/>
                </w:tcPr>
                <w:p>
                  <w:pPr>
                    <w:jc w:val="center"/>
                    <w:rPr>
                      <w:rFonts w:ascii="Times New Roman" w:hAnsi="Times New Roman" w:cs="Times New Roman"/>
                      <w:szCs w:val="21"/>
                    </w:rPr>
                  </w:pPr>
                </w:p>
              </w:tc>
              <w:tc>
                <w:tcPr>
                  <w:tcW w:w="904" w:type="dxa"/>
                  <w:tcBorders>
                    <w:tl2br w:val="nil"/>
                    <w:tr2bl w:val="nil"/>
                  </w:tcBorders>
                  <w:vAlign w:val="center"/>
                </w:tcPr>
                <w:p>
                  <w:pPr>
                    <w:jc w:val="center"/>
                    <w:rPr>
                      <w:rFonts w:ascii="Times New Roman" w:hAnsi="Times New Roman" w:cs="Times New Roman"/>
                      <w:szCs w:val="21"/>
                    </w:rPr>
                  </w:pPr>
                </w:p>
              </w:tc>
              <w:tc>
                <w:tcPr>
                  <w:tcW w:w="752" w:type="dxa"/>
                  <w:tcBorders>
                    <w:tl2br w:val="nil"/>
                    <w:tr2bl w:val="nil"/>
                  </w:tcBorders>
                  <w:vAlign w:val="center"/>
                </w:tcPr>
                <w:p>
                  <w:pPr>
                    <w:jc w:val="center"/>
                    <w:rPr>
                      <w:rFonts w:ascii="Times New Roman" w:hAnsi="Times New Roman" w:cs="Times New Roman"/>
                      <w:szCs w:val="21"/>
                    </w:rPr>
                  </w:pPr>
                </w:p>
              </w:tc>
              <w:tc>
                <w:tcPr>
                  <w:tcW w:w="755" w:type="dxa"/>
                  <w:tcBorders>
                    <w:tl2br w:val="nil"/>
                    <w:tr2bl w:val="nil"/>
                  </w:tcBorders>
                  <w:vAlign w:val="center"/>
                </w:tcPr>
                <w:p>
                  <w:pPr>
                    <w:jc w:val="center"/>
                    <w:rPr>
                      <w:rFonts w:ascii="Times New Roman" w:hAnsi="Times New Roman" w:cs="Times New Roman"/>
                      <w:szCs w:val="21"/>
                    </w:rPr>
                  </w:pPr>
                </w:p>
              </w:tc>
              <w:tc>
                <w:tcPr>
                  <w:tcW w:w="806" w:type="dxa"/>
                  <w:tcBorders>
                    <w:tl2br w:val="nil"/>
                    <w:tr2bl w:val="nil"/>
                  </w:tcBorders>
                  <w:vAlign w:val="center"/>
                </w:tcPr>
                <w:p>
                  <w:pPr>
                    <w:jc w:val="center"/>
                    <w:rPr>
                      <w:rFonts w:ascii="Times New Roman" w:hAnsi="Times New Roman" w:cs="Times New Roman"/>
                      <w:szCs w:val="21"/>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86" w:hRule="atLeast"/>
                <w:jc w:val="center"/>
              </w:trPr>
              <w:tc>
                <w:tcPr>
                  <w:tcW w:w="1457" w:type="dxa"/>
                  <w:tcBorders>
                    <w:tl2br w:val="nil"/>
                    <w:tr2bl w:val="nil"/>
                  </w:tcBorders>
                  <w:vAlign w:val="center"/>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运营期</w:t>
                  </w:r>
                </w:p>
              </w:tc>
              <w:tc>
                <w:tcPr>
                  <w:tcW w:w="1218"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0"/>
                      <w:szCs w:val="21"/>
                    </w:rPr>
                    <w:t>√</w:t>
                  </w:r>
                </w:p>
              </w:tc>
              <w:tc>
                <w:tcPr>
                  <w:tcW w:w="1205" w:type="dxa"/>
                  <w:tcBorders>
                    <w:tl2br w:val="nil"/>
                    <w:tr2bl w:val="nil"/>
                  </w:tcBorders>
                  <w:vAlign w:val="center"/>
                </w:tcPr>
                <w:p>
                  <w:pPr>
                    <w:jc w:val="center"/>
                    <w:rPr>
                      <w:rFonts w:ascii="Times New Roman" w:hAnsi="Times New Roman" w:cs="Times New Roman"/>
                      <w:szCs w:val="21"/>
                    </w:rPr>
                  </w:pPr>
                </w:p>
              </w:tc>
              <w:tc>
                <w:tcPr>
                  <w:tcW w:w="1149" w:type="dxa"/>
                  <w:tcBorders>
                    <w:tl2br w:val="nil"/>
                    <w:tr2bl w:val="nil"/>
                  </w:tcBorders>
                  <w:vAlign w:val="center"/>
                </w:tcPr>
                <w:p>
                  <w:pPr>
                    <w:jc w:val="center"/>
                    <w:rPr>
                      <w:rFonts w:ascii="Times New Roman" w:hAnsi="Times New Roman" w:cs="Times New Roman"/>
                      <w:szCs w:val="21"/>
                    </w:rPr>
                  </w:pPr>
                </w:p>
              </w:tc>
              <w:tc>
                <w:tcPr>
                  <w:tcW w:w="810" w:type="dxa"/>
                  <w:tcBorders>
                    <w:tl2br w:val="nil"/>
                    <w:tr2bl w:val="nil"/>
                  </w:tcBorders>
                  <w:vAlign w:val="center"/>
                </w:tcPr>
                <w:p>
                  <w:pPr>
                    <w:jc w:val="center"/>
                    <w:rPr>
                      <w:rFonts w:ascii="Times New Roman" w:hAnsi="Times New Roman" w:cs="Times New Roman"/>
                      <w:szCs w:val="21"/>
                    </w:rPr>
                  </w:pPr>
                </w:p>
              </w:tc>
              <w:tc>
                <w:tcPr>
                  <w:tcW w:w="904" w:type="dxa"/>
                  <w:tcBorders>
                    <w:tl2br w:val="nil"/>
                    <w:tr2bl w:val="nil"/>
                  </w:tcBorders>
                  <w:vAlign w:val="center"/>
                </w:tcPr>
                <w:p>
                  <w:pPr>
                    <w:jc w:val="center"/>
                    <w:rPr>
                      <w:rFonts w:ascii="Times New Roman" w:hAnsi="Times New Roman" w:cs="Times New Roman"/>
                      <w:szCs w:val="21"/>
                    </w:rPr>
                  </w:pPr>
                </w:p>
              </w:tc>
              <w:tc>
                <w:tcPr>
                  <w:tcW w:w="752" w:type="dxa"/>
                  <w:tcBorders>
                    <w:tl2br w:val="nil"/>
                    <w:tr2bl w:val="nil"/>
                  </w:tcBorders>
                  <w:vAlign w:val="center"/>
                </w:tcPr>
                <w:p>
                  <w:pPr>
                    <w:jc w:val="center"/>
                    <w:rPr>
                      <w:rFonts w:ascii="Times New Roman" w:hAnsi="Times New Roman" w:cs="Times New Roman"/>
                      <w:szCs w:val="21"/>
                    </w:rPr>
                  </w:pPr>
                </w:p>
              </w:tc>
              <w:tc>
                <w:tcPr>
                  <w:tcW w:w="755" w:type="dxa"/>
                  <w:tcBorders>
                    <w:tl2br w:val="nil"/>
                    <w:tr2bl w:val="nil"/>
                  </w:tcBorders>
                  <w:vAlign w:val="center"/>
                </w:tcPr>
                <w:p>
                  <w:pPr>
                    <w:jc w:val="center"/>
                    <w:rPr>
                      <w:rFonts w:ascii="Times New Roman" w:hAnsi="Times New Roman" w:cs="Times New Roman"/>
                      <w:szCs w:val="21"/>
                    </w:rPr>
                  </w:pPr>
                </w:p>
              </w:tc>
              <w:tc>
                <w:tcPr>
                  <w:tcW w:w="806" w:type="dxa"/>
                  <w:tcBorders>
                    <w:tl2br w:val="nil"/>
                    <w:tr2bl w:val="nil"/>
                  </w:tcBorders>
                  <w:vAlign w:val="center"/>
                </w:tcPr>
                <w:p>
                  <w:pPr>
                    <w:jc w:val="center"/>
                    <w:rPr>
                      <w:rFonts w:ascii="Times New Roman" w:hAnsi="Times New Roman" w:cs="Times New Roman"/>
                      <w:szCs w:val="21"/>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86" w:hRule="atLeast"/>
                <w:jc w:val="center"/>
              </w:trPr>
              <w:tc>
                <w:tcPr>
                  <w:tcW w:w="1457"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0"/>
                      <w:szCs w:val="21"/>
                    </w:rPr>
                    <w:t>服务期满后</w:t>
                  </w:r>
                </w:p>
              </w:tc>
              <w:tc>
                <w:tcPr>
                  <w:tcW w:w="1218" w:type="dxa"/>
                  <w:tcBorders>
                    <w:tl2br w:val="nil"/>
                    <w:tr2bl w:val="nil"/>
                  </w:tcBorders>
                  <w:vAlign w:val="center"/>
                </w:tcPr>
                <w:p>
                  <w:pPr>
                    <w:jc w:val="center"/>
                    <w:rPr>
                      <w:rFonts w:ascii="Times New Roman" w:hAnsi="Times New Roman" w:cs="Times New Roman"/>
                      <w:szCs w:val="21"/>
                    </w:rPr>
                  </w:pPr>
                </w:p>
              </w:tc>
              <w:tc>
                <w:tcPr>
                  <w:tcW w:w="1205" w:type="dxa"/>
                  <w:tcBorders>
                    <w:tl2br w:val="nil"/>
                    <w:tr2bl w:val="nil"/>
                  </w:tcBorders>
                  <w:vAlign w:val="center"/>
                </w:tcPr>
                <w:p>
                  <w:pPr>
                    <w:jc w:val="center"/>
                    <w:rPr>
                      <w:rFonts w:ascii="Times New Roman" w:hAnsi="Times New Roman" w:cs="Times New Roman"/>
                      <w:szCs w:val="21"/>
                    </w:rPr>
                  </w:pPr>
                </w:p>
              </w:tc>
              <w:tc>
                <w:tcPr>
                  <w:tcW w:w="1149" w:type="dxa"/>
                  <w:tcBorders>
                    <w:tl2br w:val="nil"/>
                    <w:tr2bl w:val="nil"/>
                  </w:tcBorders>
                  <w:vAlign w:val="center"/>
                </w:tcPr>
                <w:p>
                  <w:pPr>
                    <w:jc w:val="center"/>
                    <w:rPr>
                      <w:rFonts w:ascii="Times New Roman" w:hAnsi="Times New Roman" w:cs="Times New Roman"/>
                      <w:szCs w:val="21"/>
                    </w:rPr>
                  </w:pPr>
                </w:p>
              </w:tc>
              <w:tc>
                <w:tcPr>
                  <w:tcW w:w="810" w:type="dxa"/>
                  <w:tcBorders>
                    <w:tl2br w:val="nil"/>
                    <w:tr2bl w:val="nil"/>
                  </w:tcBorders>
                  <w:vAlign w:val="center"/>
                </w:tcPr>
                <w:p>
                  <w:pPr>
                    <w:jc w:val="center"/>
                    <w:rPr>
                      <w:rFonts w:ascii="Times New Roman" w:hAnsi="Times New Roman" w:cs="Times New Roman"/>
                      <w:szCs w:val="21"/>
                    </w:rPr>
                  </w:pPr>
                </w:p>
              </w:tc>
              <w:tc>
                <w:tcPr>
                  <w:tcW w:w="904" w:type="dxa"/>
                  <w:tcBorders>
                    <w:tl2br w:val="nil"/>
                    <w:tr2bl w:val="nil"/>
                  </w:tcBorders>
                  <w:vAlign w:val="center"/>
                </w:tcPr>
                <w:p>
                  <w:pPr>
                    <w:jc w:val="center"/>
                    <w:rPr>
                      <w:rFonts w:ascii="Times New Roman" w:hAnsi="Times New Roman" w:cs="Times New Roman"/>
                      <w:szCs w:val="21"/>
                    </w:rPr>
                  </w:pPr>
                </w:p>
              </w:tc>
              <w:tc>
                <w:tcPr>
                  <w:tcW w:w="752" w:type="dxa"/>
                  <w:tcBorders>
                    <w:tl2br w:val="nil"/>
                    <w:tr2bl w:val="nil"/>
                  </w:tcBorders>
                  <w:vAlign w:val="center"/>
                </w:tcPr>
                <w:p>
                  <w:pPr>
                    <w:jc w:val="center"/>
                    <w:rPr>
                      <w:rFonts w:ascii="Times New Roman" w:hAnsi="Times New Roman" w:cs="Times New Roman"/>
                      <w:szCs w:val="21"/>
                    </w:rPr>
                  </w:pPr>
                </w:p>
              </w:tc>
              <w:tc>
                <w:tcPr>
                  <w:tcW w:w="755" w:type="dxa"/>
                  <w:tcBorders>
                    <w:tl2br w:val="nil"/>
                    <w:tr2bl w:val="nil"/>
                  </w:tcBorders>
                  <w:vAlign w:val="center"/>
                </w:tcPr>
                <w:p>
                  <w:pPr>
                    <w:jc w:val="center"/>
                    <w:rPr>
                      <w:rFonts w:ascii="Times New Roman" w:hAnsi="Times New Roman" w:cs="Times New Roman"/>
                      <w:szCs w:val="21"/>
                    </w:rPr>
                  </w:pPr>
                </w:p>
              </w:tc>
              <w:tc>
                <w:tcPr>
                  <w:tcW w:w="806" w:type="dxa"/>
                  <w:tcBorders>
                    <w:tl2br w:val="nil"/>
                    <w:tr2bl w:val="nil"/>
                  </w:tcBorders>
                  <w:vAlign w:val="center"/>
                </w:tcPr>
                <w:p>
                  <w:pPr>
                    <w:jc w:val="center"/>
                    <w:rPr>
                      <w:rFonts w:ascii="Times New Roman" w:hAnsi="Times New Roman" w:cs="Times New Roman"/>
                      <w:szCs w:val="21"/>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86" w:hRule="atLeast"/>
                <w:jc w:val="center"/>
              </w:trPr>
              <w:tc>
                <w:tcPr>
                  <w:tcW w:w="9056" w:type="dxa"/>
                  <w:gridSpan w:val="9"/>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kern w:val="0"/>
                      <w:szCs w:val="21"/>
                    </w:rPr>
                    <w:t>注：在可能产生的土壤环境影响类型处打“√”，列表未涵盖的可自行设计</w:t>
                  </w:r>
                </w:p>
              </w:tc>
            </w:tr>
          </w:tbl>
          <w:p>
            <w:pPr>
              <w:autoSpaceDE w:val="0"/>
              <w:autoSpaceDN w:val="0"/>
              <w:adjustRightInd w:val="0"/>
              <w:spacing w:line="480" w:lineRule="exact"/>
              <w:ind w:firstLine="480"/>
              <w:rPr>
                <w:rFonts w:ascii="Times New Roman" w:hAnsi="Times New Roman" w:eastAsia="宋体" w:cs="Times New Roman"/>
                <w:color w:val="000000" w:themeColor="text1"/>
                <w:sz w:val="24"/>
                <w:szCs w:val="24"/>
              </w:rPr>
            </w:pPr>
            <w:r>
              <w:rPr>
                <w:rFonts w:ascii="Times New Roman" w:hAnsi="Times New Roman" w:cs="Times New Roman"/>
                <w:sz w:val="24"/>
                <w:szCs w:val="24"/>
              </w:rPr>
              <w:t>本项目的土壤影响类型为污染影响型，</w:t>
            </w:r>
            <w:r>
              <w:rPr>
                <w:rFonts w:ascii="Times New Roman" w:hAnsi="Times New Roman" w:eastAsia="宋体" w:cs="Times New Roman"/>
                <w:color w:val="000000" w:themeColor="text1"/>
                <w:sz w:val="24"/>
                <w:szCs w:val="24"/>
              </w:rPr>
              <w:t>本项目土壤影响类型为大气沉降影响。</w:t>
            </w:r>
          </w:p>
          <w:p>
            <w:pPr>
              <w:adjustRightInd w:val="0"/>
              <w:snapToGrid w:val="0"/>
              <w:spacing w:line="480" w:lineRule="exact"/>
              <w:ind w:firstLine="424" w:firstLineChars="177"/>
              <w:rPr>
                <w:rFonts w:ascii="Times New Roman" w:hAnsi="Times New Roman" w:cs="Times New Roman"/>
                <w:sz w:val="24"/>
              </w:rPr>
            </w:pPr>
            <w:r>
              <w:rPr>
                <w:rFonts w:ascii="Times New Roman" w:hAnsi="Times New Roman" w:cs="Times New Roman"/>
                <w:sz w:val="24"/>
              </w:rPr>
              <w:t>根据本项目污染源，污染物可能通过以下两种途径进入土壤:</w:t>
            </w:r>
          </w:p>
          <w:p>
            <w:pPr>
              <w:adjustRightInd w:val="0"/>
              <w:snapToGrid w:val="0"/>
              <w:spacing w:line="48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1）大气污染：被污染的大气集中在土壤表层，主要污染物是大气中的颗粒物，它们降落到地表可引起土壤土质发生变化，破坏土壤肥力与生态系统的平衡。本项目破碎筛分过程中的粉尘经处理后达标排放，粉尘排放量较小，不会因降落到地表引起土壤土质发生变化。</w:t>
            </w:r>
          </w:p>
          <w:p>
            <w:pPr>
              <w:adjustRightInd w:val="0"/>
              <w:snapToGrid w:val="0"/>
              <w:spacing w:line="48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2）固体废物污染：拟建项目废机油等在运输、堆放过程中通过扩散、降水淋洗等直接或间接的影响土壤。本项目原料、固废暂存在全封闭库房内，运输过程中采用加盖式车辆，不会因固体原料及废物的运输、堆放通过淋洗造成土壤污染</w:t>
            </w:r>
          </w:p>
          <w:p>
            <w:pPr>
              <w:adjustRightInd w:val="0"/>
              <w:snapToGrid w:val="0"/>
              <w:spacing w:line="48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因此，本项目营运期间对土壤的环境影响较小。</w:t>
            </w:r>
          </w:p>
          <w:p>
            <w:pPr>
              <w:adjustRightInd w:val="0"/>
              <w:snapToGrid w:val="0"/>
              <w:spacing w:line="480" w:lineRule="exact"/>
              <w:ind w:firstLine="426" w:firstLineChars="177"/>
              <w:rPr>
                <w:rFonts w:ascii="Times New Roman" w:hAnsi="Times New Roman" w:cs="Times New Roman"/>
                <w:b/>
                <w:sz w:val="24"/>
              </w:rPr>
            </w:pPr>
            <w:r>
              <w:rPr>
                <w:rFonts w:ascii="Times New Roman" w:hAnsi="Times New Roman" w:cs="Times New Roman"/>
                <w:b/>
                <w:sz w:val="24"/>
              </w:rPr>
              <w:t>6.7土壤环境保护措施</w:t>
            </w:r>
          </w:p>
          <w:p>
            <w:pPr>
              <w:adjustRightInd w:val="0"/>
              <w:snapToGrid w:val="0"/>
              <w:spacing w:line="480" w:lineRule="exact"/>
              <w:ind w:firstLine="424" w:firstLineChars="177"/>
              <w:rPr>
                <w:rFonts w:ascii="Times New Roman" w:hAnsi="Times New Roman" w:cs="Times New Roman"/>
                <w:sz w:val="24"/>
              </w:rPr>
            </w:pPr>
            <w:r>
              <w:rPr>
                <w:rFonts w:ascii="Times New Roman" w:hAnsi="Times New Roman" w:cs="Times New Roman"/>
                <w:sz w:val="24"/>
              </w:rPr>
              <w:t>（1）源头控制</w:t>
            </w:r>
          </w:p>
          <w:p>
            <w:pPr>
              <w:adjustRightInd w:val="0"/>
              <w:snapToGrid w:val="0"/>
              <w:spacing w:line="480" w:lineRule="exact"/>
              <w:ind w:firstLine="424" w:firstLineChars="177"/>
              <w:rPr>
                <w:rFonts w:ascii="Times New Roman" w:hAnsi="Times New Roman" w:cs="Times New Roman"/>
                <w:sz w:val="24"/>
              </w:rPr>
            </w:pPr>
            <w:r>
              <w:rPr>
                <w:rFonts w:ascii="Times New Roman" w:hAnsi="Times New Roman" w:cs="Times New Roman"/>
                <w:sz w:val="24"/>
              </w:rPr>
              <w:t>本项目厂区内各车间全部采用水泥地面硬化，生产过程的各种机械设备、污染防治措施均采取严格的硬化及防渗处理。将生产过程中的各种机械设备及污染物均与天然土壤隔离，不会通过裸露区渗入到土壤中，对土壤环境影响较小。</w:t>
            </w:r>
          </w:p>
          <w:p>
            <w:pPr>
              <w:adjustRightInd w:val="0"/>
              <w:snapToGrid w:val="0"/>
              <w:spacing w:line="480" w:lineRule="exact"/>
              <w:ind w:firstLine="424" w:firstLineChars="177"/>
              <w:rPr>
                <w:rFonts w:ascii="Times New Roman" w:hAnsi="Times New Roman" w:cs="Times New Roman"/>
                <w:sz w:val="24"/>
              </w:rPr>
            </w:pPr>
            <w:r>
              <w:rPr>
                <w:rFonts w:ascii="Times New Roman" w:hAnsi="Times New Roman" w:cs="Times New Roman"/>
                <w:sz w:val="24"/>
              </w:rPr>
              <w:t>（2）过程防控</w:t>
            </w:r>
          </w:p>
          <w:p>
            <w:pPr>
              <w:adjustRightInd w:val="0"/>
              <w:snapToGrid w:val="0"/>
              <w:spacing w:line="480" w:lineRule="exact"/>
              <w:ind w:firstLine="424" w:firstLineChars="177"/>
              <w:rPr>
                <w:rFonts w:ascii="Times New Roman" w:hAnsi="Times New Roman" w:cs="Times New Roman"/>
                <w:sz w:val="24"/>
              </w:rPr>
            </w:pPr>
            <w:r>
              <w:rPr>
                <w:rFonts w:ascii="Times New Roman" w:hAnsi="Times New Roman" w:cs="Times New Roman"/>
                <w:sz w:val="24"/>
              </w:rPr>
              <w:t>生产过程中产生的含尘废气通过布袋除尘器处理达标后排放，原料堆场全封闭，正常情况下污染物排放量较小，不会破坏土壤的肥力。</w:t>
            </w:r>
          </w:p>
          <w:p>
            <w:pPr>
              <w:adjustRightInd w:val="0"/>
              <w:snapToGrid w:val="0"/>
              <w:spacing w:line="480" w:lineRule="exact"/>
              <w:ind w:firstLine="424" w:firstLineChars="177"/>
              <w:rPr>
                <w:rFonts w:ascii="Times New Roman" w:hAnsi="Times New Roman" w:cs="Times New Roman"/>
                <w:sz w:val="24"/>
              </w:rPr>
            </w:pPr>
            <w:r>
              <w:rPr>
                <w:rFonts w:ascii="Times New Roman" w:hAnsi="Times New Roman" w:cs="Times New Roman"/>
                <w:sz w:val="24"/>
              </w:rPr>
              <w:t>（3）跟踪监测</w:t>
            </w:r>
          </w:p>
          <w:p>
            <w:pPr>
              <w:adjustRightInd w:val="0"/>
              <w:snapToGrid w:val="0"/>
              <w:spacing w:line="480" w:lineRule="exact"/>
              <w:ind w:firstLine="424" w:firstLineChars="177"/>
              <w:rPr>
                <w:rFonts w:ascii="Times New Roman" w:hAnsi="Times New Roman" w:cs="Times New Roman"/>
                <w:sz w:val="24"/>
              </w:rPr>
            </w:pPr>
            <w:r>
              <w:rPr>
                <w:rFonts w:ascii="Times New Roman" w:hAnsi="Times New Roman" w:cs="Times New Roman"/>
                <w:sz w:val="24"/>
              </w:rPr>
              <w:t>为防止在项目营运过程中对土壤造成的影响，评价要求企业做好设备的维护、检修，杜绝跑、冒、滴、漏现象。同时，加强布袋除尘器措施的有效运行，做好安全防护、报警措施，以便及时发现事故隐患，采取有效的应对措施。</w:t>
            </w:r>
          </w:p>
          <w:p>
            <w:pPr>
              <w:pStyle w:val="113"/>
              <w:adjustRightInd/>
              <w:snapToGrid/>
              <w:spacing w:beforeLines="0" w:line="480" w:lineRule="exact"/>
              <w:ind w:firstLine="482"/>
              <w:rPr>
                <w:b/>
                <w:color w:val="auto"/>
              </w:rPr>
            </w:pPr>
            <w:r>
              <w:rPr>
                <w:b/>
                <w:color w:val="auto"/>
              </w:rPr>
              <w:t>6.8结论</w:t>
            </w:r>
          </w:p>
          <w:p>
            <w:pPr>
              <w:pStyle w:val="113"/>
              <w:adjustRightInd/>
              <w:snapToGrid/>
              <w:spacing w:beforeLines="0" w:line="480" w:lineRule="exact"/>
              <w:ind w:firstLine="480"/>
              <w:rPr>
                <w:color w:val="auto"/>
              </w:rPr>
            </w:pPr>
            <w:r>
              <w:rPr>
                <w:color w:val="auto"/>
              </w:rPr>
              <w:t>本项目实施后，颗粒物沉降对耕地和占地范围内表层土壤中游离酸输入量很小。因此，从土壤环境保护角度，本项目建设可行。</w:t>
            </w:r>
          </w:p>
          <w:p>
            <w:pPr>
              <w:spacing w:line="360" w:lineRule="exact"/>
              <w:jc w:val="center"/>
              <w:rPr>
                <w:rFonts w:ascii="Times New Roman" w:hAnsi="Times New Roman" w:cs="Times New Roman"/>
                <w:b/>
                <w:sz w:val="24"/>
                <w:szCs w:val="24"/>
              </w:rPr>
            </w:pPr>
            <w:r>
              <w:rPr>
                <w:rFonts w:ascii="Times New Roman" w:hAnsi="Times New Roman" w:cs="Times New Roman"/>
                <w:b/>
                <w:bCs/>
                <w:sz w:val="24"/>
                <w:szCs w:val="24"/>
              </w:rPr>
              <w:t>表7-</w:t>
            </w:r>
            <w:r>
              <w:rPr>
                <w:rFonts w:hint="eastAsia" w:ascii="Times New Roman" w:hAnsi="Times New Roman" w:cs="Times New Roman"/>
                <w:b/>
                <w:bCs/>
                <w:sz w:val="24"/>
                <w:szCs w:val="24"/>
                <w:lang w:val="en-US" w:eastAsia="zh-CN"/>
              </w:rPr>
              <w:t>21</w:t>
            </w:r>
            <w:r>
              <w:rPr>
                <w:rFonts w:ascii="Times New Roman" w:hAnsi="Times New Roman" w:cs="Times New Roman"/>
                <w:b/>
                <w:bCs/>
                <w:sz w:val="24"/>
                <w:szCs w:val="24"/>
              </w:rPr>
              <w:t>建设项目土壤环境影响评价自查表</w:t>
            </w:r>
          </w:p>
          <w:tbl>
            <w:tblPr>
              <w:tblStyle w:val="40"/>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0"/>
              <w:gridCol w:w="1694"/>
              <w:gridCol w:w="1698"/>
              <w:gridCol w:w="141"/>
              <w:gridCol w:w="991"/>
              <w:gridCol w:w="426"/>
              <w:gridCol w:w="1127"/>
              <w:gridCol w:w="98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工作内容</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完成情况</w:t>
                  </w:r>
                </w:p>
              </w:tc>
              <w:tc>
                <w:tcPr>
                  <w:tcW w:w="10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 w:val="18"/>
                      <w:szCs w:val="18"/>
                    </w:rPr>
                  </w:pPr>
                  <w:r>
                    <w:rPr>
                      <w:rFonts w:ascii="Times New Roman" w:hAnsi="Times New Roman" w:cs="Times New Roman"/>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restart"/>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r>
                    <w:rPr>
                      <w:sz w:val="18"/>
                      <w:szCs w:val="18"/>
                    </w:rPr>
                    <w:t>影响识别</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影响类型</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sz w:val="18"/>
                      <w:szCs w:val="18"/>
                    </w:rPr>
                  </w:pPr>
                  <w:r>
                    <w:rPr>
                      <w:sz w:val="18"/>
                      <w:szCs w:val="18"/>
                    </w:rPr>
                    <w:t>污染影响型</w:t>
                  </w:r>
                  <w:r>
                    <w:rPr>
                      <w:rFonts w:eastAsia="MS Mincho"/>
                      <w:bCs/>
                    </w:rPr>
                    <w:t>☑</w:t>
                  </w:r>
                  <w:r>
                    <w:rPr>
                      <w:sz w:val="18"/>
                      <w:szCs w:val="18"/>
                    </w:rPr>
                    <w:t>；生态影响型□；两种兼有□</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土地利用类型</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sz w:val="18"/>
                      <w:szCs w:val="18"/>
                    </w:rPr>
                  </w:pPr>
                  <w:r>
                    <w:rPr>
                      <w:sz w:val="18"/>
                      <w:szCs w:val="18"/>
                    </w:rPr>
                    <w:t>建设用地</w:t>
                  </w:r>
                  <w:r>
                    <w:rPr>
                      <w:rFonts w:eastAsia="MS Mincho"/>
                      <w:bCs/>
                    </w:rPr>
                    <w:t>☑</w:t>
                  </w:r>
                  <w:r>
                    <w:rPr>
                      <w:sz w:val="18"/>
                      <w:szCs w:val="18"/>
                    </w:rPr>
                    <w:t>；农用地□；未利用地□</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占地规模</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sz w:val="18"/>
                      <w:szCs w:val="18"/>
                    </w:rPr>
                  </w:pPr>
                  <w:r>
                    <w:rPr>
                      <w:sz w:val="18"/>
                      <w:szCs w:val="18"/>
                    </w:rPr>
                    <w:t>（</w:t>
                  </w:r>
                  <w:r>
                    <w:rPr>
                      <w:rFonts w:hint="eastAsia"/>
                      <w:sz w:val="18"/>
                      <w:szCs w:val="18"/>
                    </w:rPr>
                    <w:t>0.5</w:t>
                  </w:r>
                  <w:r>
                    <w:rPr>
                      <w:sz w:val="18"/>
                      <w:szCs w:val="18"/>
                    </w:rPr>
                    <w:t>）hm</w:t>
                  </w:r>
                  <w:r>
                    <w:rPr>
                      <w:sz w:val="18"/>
                      <w:szCs w:val="18"/>
                      <w:vertAlign w:val="superscript"/>
                    </w:rPr>
                    <w:t>2</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敏感目标信息</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敏感目标（/）、方位（/）、距离（/）</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影响途径</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sz w:val="18"/>
                      <w:szCs w:val="18"/>
                    </w:rPr>
                  </w:pPr>
                  <w:r>
                    <w:rPr>
                      <w:sz w:val="18"/>
                      <w:szCs w:val="18"/>
                    </w:rPr>
                    <w:t>大气沉降</w:t>
                  </w:r>
                  <w:r>
                    <w:rPr>
                      <w:rFonts w:eastAsia="MS Mincho"/>
                      <w:bCs/>
                    </w:rPr>
                    <w:t>☑</w:t>
                  </w:r>
                  <w:r>
                    <w:rPr>
                      <w:sz w:val="18"/>
                      <w:szCs w:val="18"/>
                    </w:rPr>
                    <w:t>；地面漫流□；垂直入渗□；地下水位□；其他□</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全部污染物</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kern w:val="2"/>
                      <w:sz w:val="18"/>
                      <w:szCs w:val="18"/>
                    </w:rPr>
                    <w:t>/</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特征因子</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所属土壤环境影响评价项目类别</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sz w:val="18"/>
                      <w:szCs w:val="18"/>
                    </w:rPr>
                  </w:pPr>
                  <w:r>
                    <w:rPr>
                      <w:sz w:val="18"/>
                      <w:szCs w:val="18"/>
                    </w:rPr>
                    <w:t>Ⅰ类□；Ⅱ类□；Ⅲ类</w:t>
                  </w:r>
                  <w:r>
                    <w:rPr>
                      <w:rFonts w:eastAsia="MS Mincho"/>
                      <w:bCs/>
                    </w:rPr>
                    <w:t>☑</w:t>
                  </w:r>
                  <w:r>
                    <w:rPr>
                      <w:sz w:val="18"/>
                      <w:szCs w:val="18"/>
                    </w:rPr>
                    <w:t>；Ⅳ类□</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敏感程度</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sz w:val="18"/>
                      <w:szCs w:val="18"/>
                    </w:rPr>
                  </w:pPr>
                  <w:r>
                    <w:rPr>
                      <w:sz w:val="18"/>
                      <w:szCs w:val="18"/>
                    </w:rPr>
                    <w:t>敏感</w:t>
                  </w:r>
                  <w:r>
                    <w:rPr>
                      <w:rFonts w:eastAsia="MS Mincho"/>
                      <w:bCs/>
                    </w:rPr>
                    <w:t>☑</w:t>
                  </w:r>
                  <w:r>
                    <w:rPr>
                      <w:sz w:val="18"/>
                      <w:szCs w:val="18"/>
                    </w:rPr>
                    <w:t>；较敏感□；不敏感□</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评价工作等级</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一级□；二级□；三级</w:t>
                  </w:r>
                  <w:r>
                    <w:rPr>
                      <w:rFonts w:ascii="Times New Roman" w:hAnsi="Times New Roman" w:eastAsia="MS Mincho" w:cs="Times New Roman"/>
                      <w:bCs/>
                    </w:rPr>
                    <w:t>☑</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restart"/>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sz w:val="18"/>
                      <w:szCs w:val="18"/>
                    </w:rPr>
                  </w:pPr>
                </w:p>
                <w:p>
                  <w:pPr>
                    <w:pStyle w:val="14"/>
                    <w:spacing w:line="280" w:lineRule="exact"/>
                    <w:ind w:firstLine="360"/>
                    <w:rPr>
                      <w:kern w:val="2"/>
                      <w:sz w:val="18"/>
                      <w:szCs w:val="18"/>
                    </w:rPr>
                  </w:pPr>
                  <w:r>
                    <w:rPr>
                      <w:sz w:val="18"/>
                      <w:szCs w:val="18"/>
                    </w:rPr>
                    <w:t>现状调查内容</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资料收集</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a)□；b)□；c)□；d）□</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理化特性</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氧化还原电位</w:t>
                  </w:r>
                  <w:r>
                    <w:rPr>
                      <w:rFonts w:hint="eastAsia" w:ascii="Times New Roman" w:hAnsi="Times New Roman" w:eastAsia="宋体" w:cs="Times New Roman"/>
                      <w:kern w:val="0"/>
                      <w:sz w:val="18"/>
                      <w:szCs w:val="18"/>
                    </w:rPr>
                    <w:t>411</w:t>
                  </w:r>
                  <w:r>
                    <w:rPr>
                      <w:rFonts w:ascii="Times New Roman" w:hAnsi="Times New Roman" w:eastAsia="宋体" w:cs="Times New Roman"/>
                      <w:kern w:val="0"/>
                      <w:sz w:val="18"/>
                      <w:szCs w:val="18"/>
                    </w:rPr>
                    <w:t>mV</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现状监测点位</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bCs/>
                      <w:kern w:val="0"/>
                      <w:sz w:val="18"/>
                      <w:szCs w:val="18"/>
                    </w:rPr>
                  </w:pP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imes New Roman" w:hAnsi="Times New Roman" w:eastAsia="宋体" w:cs="Times New Roman"/>
                      <w:bCs/>
                      <w:kern w:val="0"/>
                      <w:sz w:val="18"/>
                      <w:szCs w:val="18"/>
                    </w:rPr>
                  </w:pPr>
                  <w:r>
                    <w:rPr>
                      <w:rFonts w:ascii="Times New Roman" w:hAnsi="Times New Roman" w:cs="Times New Roman"/>
                      <w:bCs/>
                      <w:kern w:val="0"/>
                      <w:sz w:val="18"/>
                      <w:szCs w:val="18"/>
                    </w:rPr>
                    <w:t>占地范围内</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imes New Roman" w:hAnsi="Times New Roman" w:eastAsia="宋体" w:cs="Times New Roman"/>
                      <w:bCs/>
                      <w:kern w:val="0"/>
                      <w:sz w:val="18"/>
                      <w:szCs w:val="18"/>
                    </w:rPr>
                  </w:pPr>
                  <w:r>
                    <w:rPr>
                      <w:rFonts w:ascii="Times New Roman" w:hAnsi="Times New Roman" w:cs="Times New Roman"/>
                      <w:bCs/>
                      <w:kern w:val="0"/>
                      <w:sz w:val="18"/>
                      <w:szCs w:val="18"/>
                    </w:rPr>
                    <w:t>占地范围外</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imes New Roman" w:hAnsi="Times New Roman" w:eastAsia="宋体" w:cs="Times New Roman"/>
                      <w:bCs/>
                      <w:kern w:val="0"/>
                      <w:sz w:val="18"/>
                      <w:szCs w:val="18"/>
                    </w:rPr>
                  </w:pPr>
                  <w:r>
                    <w:rPr>
                      <w:rFonts w:ascii="Times New Roman" w:hAnsi="Times New Roman" w:cs="Times New Roman"/>
                      <w:bCs/>
                      <w:kern w:val="0"/>
                      <w:sz w:val="18"/>
                      <w:szCs w:val="18"/>
                    </w:rPr>
                    <w:t>深度</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bCs/>
                      <w:kern w:val="0"/>
                      <w:sz w:val="18"/>
                      <w:szCs w:val="18"/>
                    </w:rPr>
                    <w:t>表层样点数</w:t>
                  </w: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3</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0</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14"/>
                    <w:ind w:firstLine="0"/>
                    <w:jc w:val="center"/>
                    <w:rPr>
                      <w:kern w:val="2"/>
                      <w:sz w:val="18"/>
                      <w:szCs w:val="18"/>
                    </w:rPr>
                  </w:pPr>
                  <w:r>
                    <w:rPr>
                      <w:sz w:val="18"/>
                      <w:szCs w:val="18"/>
                    </w:rPr>
                    <w:t>0-0.2m</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bCs/>
                      <w:kern w:val="0"/>
                      <w:sz w:val="18"/>
                      <w:szCs w:val="18"/>
                    </w:rPr>
                    <w:t>柱状样点数</w:t>
                  </w: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0</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0</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现状监测因子</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农用地基本8项，建设用地基本45项</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现状评价</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评价因子</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评价标准</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sz w:val="18"/>
                      <w:szCs w:val="18"/>
                    </w:rPr>
                  </w:pPr>
                  <w:r>
                    <w:rPr>
                      <w:sz w:val="18"/>
                      <w:szCs w:val="18"/>
                    </w:rPr>
                    <w:t>GB15618</w:t>
                  </w:r>
                  <w:r>
                    <w:rPr>
                      <w:sz w:val="18"/>
                      <w:szCs w:val="18"/>
                    </w:rPr>
                    <w:sym w:font="Wingdings 2" w:char="0052"/>
                  </w:r>
                  <w:r>
                    <w:rPr>
                      <w:sz w:val="18"/>
                      <w:szCs w:val="18"/>
                    </w:rPr>
                    <w:t>；GB36600</w:t>
                  </w:r>
                  <w:r>
                    <w:rPr>
                      <w:sz w:val="18"/>
                      <w:szCs w:val="18"/>
                    </w:rPr>
                    <w:sym w:font="Wingdings 2" w:char="0052"/>
                  </w:r>
                  <w:r>
                    <w:rPr>
                      <w:sz w:val="18"/>
                      <w:szCs w:val="18"/>
                    </w:rPr>
                    <w:t>；表D.1□；D.2□；其他□</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现状评价结论</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达标</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影响预测</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预测因子</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预测方法</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附录E□；附录F□；其他（）</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预测分析内容</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影响范围（）影响程度（）</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预测结论</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sz w:val="18"/>
                      <w:szCs w:val="18"/>
                    </w:rPr>
                  </w:pPr>
                  <w:r>
                    <w:rPr>
                      <w:sz w:val="18"/>
                      <w:szCs w:val="18"/>
                    </w:rPr>
                    <w:t>达标结论：a)□；b)□；c)□</w:t>
                  </w:r>
                </w:p>
                <w:p>
                  <w:pPr>
                    <w:pStyle w:val="14"/>
                    <w:spacing w:line="280" w:lineRule="exact"/>
                    <w:ind w:firstLine="360"/>
                    <w:rPr>
                      <w:sz w:val="18"/>
                      <w:szCs w:val="18"/>
                    </w:rPr>
                  </w:pPr>
                  <w:r>
                    <w:rPr>
                      <w:sz w:val="18"/>
                      <w:szCs w:val="18"/>
                    </w:rPr>
                    <w:t>不达标结论：a)□；b)□</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防治措施</w:t>
                  </w: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防控措施</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土壤环境质量现状保障□；源头控制</w:t>
                  </w:r>
                  <w:r>
                    <w:rPr>
                      <w:rFonts w:ascii="Times New Roman" w:hAnsi="Times New Roman" w:eastAsia="MS Mincho" w:cs="Times New Roman"/>
                      <w:bCs/>
                    </w:rPr>
                    <w:t>☑</w:t>
                  </w:r>
                  <w:r>
                    <w:rPr>
                      <w:rFonts w:ascii="Times New Roman" w:hAnsi="Times New Roman" w:cs="Times New Roman"/>
                      <w:kern w:val="0"/>
                      <w:sz w:val="18"/>
                      <w:szCs w:val="18"/>
                    </w:rPr>
                    <w:t>；过程防控</w:t>
                  </w:r>
                  <w:r>
                    <w:rPr>
                      <w:rFonts w:ascii="Times New Roman" w:hAnsi="Times New Roman" w:eastAsia="MS Mincho" w:cs="Times New Roman"/>
                      <w:bCs/>
                    </w:rPr>
                    <w:t>☑</w:t>
                  </w:r>
                  <w:r>
                    <w:rPr>
                      <w:rFonts w:ascii="Times New Roman" w:hAnsi="Times New Roman" w:cs="Times New Roman"/>
                      <w:kern w:val="0"/>
                      <w:sz w:val="18"/>
                      <w:szCs w:val="18"/>
                    </w:rPr>
                    <w:t>；其他（）</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跟踪监测</w:t>
                  </w:r>
                </w:p>
              </w:tc>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监测点数</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监测指标</w:t>
                  </w:r>
                </w:p>
              </w:tc>
              <w:tc>
                <w:tcPr>
                  <w:tcW w:w="2116"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监测频次</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w:t>
                  </w:r>
                </w:p>
              </w:tc>
              <w:tc>
                <w:tcPr>
                  <w:tcW w:w="2116"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18"/>
                      <w:szCs w:val="18"/>
                    </w:rPr>
                  </w:pPr>
                </w:p>
              </w:tc>
              <w:tc>
                <w:tcPr>
                  <w:tcW w:w="16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信息公开指标</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pStyle w:val="14"/>
                    <w:spacing w:line="280" w:lineRule="exact"/>
                    <w:ind w:firstLine="360"/>
                    <w:rPr>
                      <w:kern w:val="2"/>
                      <w:sz w:val="18"/>
                      <w:szCs w:val="18"/>
                    </w:rPr>
                  </w:pPr>
                  <w:r>
                    <w:rPr>
                      <w:sz w:val="18"/>
                      <w:szCs w:val="18"/>
                    </w:rPr>
                    <w:t>/</w:t>
                  </w: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r>
                    <w:rPr>
                      <w:rFonts w:ascii="Times New Roman" w:hAnsi="Times New Roman" w:cs="Times New Roman"/>
                      <w:kern w:val="0"/>
                      <w:sz w:val="18"/>
                      <w:szCs w:val="18"/>
                    </w:rPr>
                    <w:t>评价结论</w:t>
                  </w:r>
                </w:p>
              </w:tc>
              <w:tc>
                <w:tcPr>
                  <w:tcW w:w="537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宋体" w:cs="Times New Roman"/>
                      <w:kern w:val="0"/>
                      <w:sz w:val="18"/>
                      <w:szCs w:val="18"/>
                    </w:rPr>
                  </w:pPr>
                </w:p>
              </w:tc>
              <w:tc>
                <w:tcPr>
                  <w:tcW w:w="1004" w:type="dxa"/>
                  <w:tcBorders>
                    <w:top w:val="single" w:color="000000" w:sz="4" w:space="0"/>
                    <w:left w:val="single" w:color="000000" w:sz="4" w:space="0"/>
                    <w:bottom w:val="single" w:color="000000" w:sz="4" w:space="0"/>
                    <w:right w:val="single" w:color="000000" w:sz="4" w:space="0"/>
                  </w:tcBorders>
                </w:tcPr>
                <w:p>
                  <w:pPr>
                    <w:pStyle w:val="14"/>
                    <w:spacing w:line="280" w:lineRule="exact"/>
                    <w:ind w:firstLine="360"/>
                    <w:rPr>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cs="Times New Roman"/>
                      <w:kern w:val="0"/>
                      <w:sz w:val="18"/>
                      <w:szCs w:val="18"/>
                    </w:rPr>
                  </w:pPr>
                  <w:r>
                    <w:rPr>
                      <w:rFonts w:ascii="Times New Roman" w:hAnsi="Times New Roman" w:cs="Times New Roman"/>
                      <w:kern w:val="0"/>
                      <w:sz w:val="18"/>
                      <w:szCs w:val="18"/>
                    </w:rPr>
                    <w:t>注1：“□”为沟选项，可√；“（）”为内容填写项；“备注”为其他补充内容。</w:t>
                  </w:r>
                </w:p>
                <w:p>
                  <w:pPr>
                    <w:pStyle w:val="14"/>
                    <w:spacing w:line="280" w:lineRule="exact"/>
                    <w:ind w:firstLine="360"/>
                    <w:rPr>
                      <w:kern w:val="2"/>
                      <w:sz w:val="18"/>
                      <w:szCs w:val="18"/>
                    </w:rPr>
                  </w:pPr>
                  <w:r>
                    <w:rPr>
                      <w:sz w:val="18"/>
                      <w:szCs w:val="18"/>
                    </w:rPr>
                    <w:t>注2：需要分别开展土壤环境影响评级工作的，分别填写自查表。</w:t>
                  </w:r>
                </w:p>
              </w:tc>
            </w:tr>
          </w:tbl>
          <w:p>
            <w:pPr>
              <w:spacing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7、环境风险影响评价</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根据《建设项目环境风险评价技术导则》（HJ 169-2018）要求，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p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1、风险调查</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根据《建设项目环境风险评价技术导则》（HJ169-2018）附录B中表B.1和表B.2，本项目风险物质主要为废机油。</w:t>
            </w:r>
          </w:p>
          <w:p>
            <w:p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2、环境风险潜势初判</w:t>
            </w:r>
          </w:p>
          <w:p>
            <w:pPr>
              <w:spacing w:line="360" w:lineRule="auto"/>
              <w:ind w:firstLine="480" w:firstLineChars="20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根据</w:t>
            </w:r>
            <w:r>
              <w:rPr>
                <w:rFonts w:hint="default" w:ascii="Times New Roman" w:hAnsi="Times New Roman" w:eastAsia="宋体" w:cs="Times New Roman"/>
                <w:color w:val="auto"/>
                <w:sz w:val="24"/>
                <w:lang w:val="en-US" w:eastAsia="zh-CN"/>
              </w:rPr>
              <w:t>《建设项目环境风险评价技术导则》（HJ169-2018）</w:t>
            </w:r>
            <w:r>
              <w:rPr>
                <w:rFonts w:hint="eastAsia" w:ascii="Times New Roman" w:hAnsi="Times New Roman" w:eastAsia="宋体" w:cs="Times New Roman"/>
                <w:color w:val="auto"/>
                <w:sz w:val="24"/>
                <w:lang w:val="en-US" w:eastAsia="zh-CN"/>
              </w:rPr>
              <w:t>附录C</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计算危险物质数量与临界量比值（Q）。</w:t>
            </w:r>
            <w:r>
              <w:rPr>
                <w:rFonts w:hint="default" w:ascii="Times New Roman" w:hAnsi="Times New Roman" w:eastAsia="宋体" w:cs="Times New Roman"/>
                <w:color w:val="auto"/>
                <w:sz w:val="24"/>
                <w:lang w:val="en-US" w:eastAsia="zh-CN"/>
              </w:rPr>
              <w:t>本项目</w:t>
            </w:r>
            <w:r>
              <w:rPr>
                <w:rFonts w:hint="eastAsia" w:ascii="Times New Roman" w:hAnsi="Times New Roman" w:eastAsia="宋体" w:cs="Times New Roman"/>
                <w:color w:val="auto"/>
                <w:sz w:val="24"/>
                <w:lang w:val="en-US" w:eastAsia="zh-CN"/>
              </w:rPr>
              <w:t>Q&lt;1</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本项目环境风险潜势为Ⅰ。</w:t>
            </w:r>
          </w:p>
          <w:p>
            <w:pPr>
              <w:spacing w:line="360" w:lineRule="auto"/>
              <w:ind w:firstLine="482" w:firstLineChars="200"/>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3</w:t>
            </w:r>
            <w:r>
              <w:rPr>
                <w:rFonts w:hint="default" w:ascii="Times New Roman" w:hAnsi="Times New Roman" w:eastAsia="宋体" w:cs="Times New Roman"/>
                <w:b/>
                <w:bCs/>
                <w:color w:val="auto"/>
                <w:sz w:val="24"/>
              </w:rPr>
              <w:t>、</w:t>
            </w:r>
            <w:r>
              <w:rPr>
                <w:rFonts w:hint="eastAsia" w:ascii="Times New Roman" w:hAnsi="Times New Roman" w:eastAsia="宋体" w:cs="Times New Roman"/>
                <w:b/>
                <w:bCs/>
                <w:color w:val="auto"/>
                <w:sz w:val="24"/>
                <w:lang w:val="en-US" w:eastAsia="zh-CN"/>
              </w:rPr>
              <w:t>评价工作等级划分</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根据</w:t>
            </w:r>
            <w:r>
              <w:rPr>
                <w:rFonts w:hint="default" w:ascii="Times New Roman" w:hAnsi="Times New Roman" w:eastAsia="宋体" w:cs="Times New Roman"/>
                <w:color w:val="auto"/>
                <w:sz w:val="24"/>
                <w:lang w:val="en-US" w:eastAsia="zh-CN"/>
              </w:rPr>
              <w:t>《建设项目环境风险评价技术导则》（HJ169-2018）</w:t>
            </w:r>
            <w:r>
              <w:rPr>
                <w:rFonts w:hint="eastAsia" w:ascii="Times New Roman" w:hAnsi="Times New Roman" w:eastAsia="宋体" w:cs="Times New Roman"/>
                <w:color w:val="auto"/>
                <w:sz w:val="24"/>
                <w:lang w:val="en-US" w:eastAsia="zh-CN"/>
              </w:rPr>
              <w:t>，本项目环境风险潜势为</w:t>
            </w:r>
            <w:r>
              <w:rPr>
                <w:rFonts w:hint="default" w:ascii="Times New Roman" w:hAnsi="Times New Roman" w:eastAsia="宋体" w:cs="Times New Roman"/>
                <w:color w:val="auto"/>
                <w:sz w:val="24"/>
              </w:rPr>
              <w:t>Ⅰ</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可开展简单分析。</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环境风险管理：对危废暂存间进行防渗处理，并按照突发环境事件应急预案编制要求编制突发环境应急预案。</w:t>
            </w:r>
          </w:p>
          <w:p>
            <w:pPr>
              <w:adjustRightInd w:val="0"/>
              <w:snapToGrid w:val="0"/>
              <w:jc w:val="center"/>
              <w:rPr>
                <w:rFonts w:hint="default" w:ascii="Times New Roman" w:hAnsi="Times New Roman" w:cs="Times New Roman"/>
                <w:b/>
                <w:sz w:val="24"/>
              </w:rPr>
            </w:pPr>
            <w:r>
              <w:rPr>
                <w:rFonts w:hint="default" w:ascii="Times New Roman" w:hAnsi="Times New Roman" w:cs="Times New Roman"/>
                <w:b/>
                <w:sz w:val="24"/>
              </w:rPr>
              <w:t>表7-</w:t>
            </w:r>
            <w:r>
              <w:rPr>
                <w:rFonts w:hint="eastAsia" w:ascii="Times New Roman" w:hAnsi="Times New Roman" w:cs="Times New Roman"/>
                <w:b/>
                <w:sz w:val="24"/>
                <w:lang w:val="en-US" w:eastAsia="zh-CN"/>
              </w:rPr>
              <w:t>22</w:t>
            </w:r>
            <w:r>
              <w:rPr>
                <w:rFonts w:hint="default" w:ascii="Times New Roman" w:hAnsi="Times New Roman" w:cs="Times New Roman"/>
                <w:b/>
                <w:sz w:val="24"/>
              </w:rPr>
              <w:t>环境风险简单分析内容表</w:t>
            </w:r>
          </w:p>
          <w:tbl>
            <w:tblPr>
              <w:tblStyle w:val="4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7"/>
              <w:gridCol w:w="1368"/>
              <w:gridCol w:w="1614"/>
              <w:gridCol w:w="897"/>
              <w:gridCol w:w="1377"/>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建设项目名称</w:t>
                  </w:r>
                </w:p>
              </w:tc>
              <w:tc>
                <w:tcPr>
                  <w:tcW w:w="3858" w:type="pct"/>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鑫路通石料厂利用尾矿废石年产10万吨机制石料项目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建设地点</w:t>
                  </w:r>
                </w:p>
              </w:tc>
              <w:tc>
                <w:tcPr>
                  <w:tcW w:w="7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r>
                    <w:rPr>
                      <w:rFonts w:hint="eastAsia" w:ascii="Times New Roman" w:hAnsi="Times New Roman" w:eastAsia="宋体" w:cs="Times New Roman"/>
                      <w:bCs/>
                      <w:color w:val="auto"/>
                      <w:sz w:val="21"/>
                      <w:szCs w:val="21"/>
                      <w:lang w:eastAsia="zh-CN"/>
                    </w:rPr>
                    <w:t>山西</w:t>
                  </w:r>
                  <w:r>
                    <w:rPr>
                      <w:rFonts w:hint="default" w:ascii="Times New Roman" w:hAnsi="Times New Roman" w:eastAsia="宋体" w:cs="Times New Roman"/>
                      <w:bCs/>
                      <w:color w:val="auto"/>
                      <w:sz w:val="21"/>
                      <w:szCs w:val="21"/>
                    </w:rPr>
                    <w:t>）省</w:t>
                  </w:r>
                </w:p>
              </w:tc>
              <w:tc>
                <w:tcPr>
                  <w:tcW w:w="89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r>
                    <w:rPr>
                      <w:rFonts w:hint="eastAsia" w:ascii="Times New Roman" w:hAnsi="Times New Roman" w:eastAsia="宋体" w:cs="Times New Roman"/>
                      <w:bCs/>
                      <w:color w:val="auto"/>
                      <w:sz w:val="21"/>
                      <w:szCs w:val="21"/>
                      <w:lang w:eastAsia="zh-CN"/>
                    </w:rPr>
                    <w:t>忻州</w:t>
                  </w:r>
                  <w:r>
                    <w:rPr>
                      <w:rFonts w:hint="default" w:ascii="Times New Roman" w:hAnsi="Times New Roman" w:eastAsia="宋体" w:cs="Times New Roman"/>
                      <w:bCs/>
                      <w:color w:val="auto"/>
                      <w:sz w:val="21"/>
                      <w:szCs w:val="21"/>
                    </w:rPr>
                    <w:t>）市</w:t>
                  </w:r>
                </w:p>
              </w:tc>
              <w:tc>
                <w:tcPr>
                  <w:tcW w:w="49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（）区</w:t>
                  </w:r>
                </w:p>
              </w:tc>
              <w:tc>
                <w:tcPr>
                  <w:tcW w:w="76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r>
                    <w:rPr>
                      <w:rFonts w:hint="eastAsia" w:ascii="Times New Roman" w:hAnsi="Times New Roman" w:eastAsia="宋体" w:cs="Times New Roman"/>
                      <w:bCs/>
                      <w:color w:val="auto"/>
                      <w:sz w:val="21"/>
                      <w:szCs w:val="21"/>
                      <w:lang w:eastAsia="zh-CN"/>
                    </w:rPr>
                    <w:t>代县</w:t>
                  </w:r>
                  <w:r>
                    <w:rPr>
                      <w:rFonts w:hint="default" w:ascii="Times New Roman" w:hAnsi="Times New Roman" w:eastAsia="宋体" w:cs="Times New Roman"/>
                      <w:bCs/>
                      <w:color w:val="auto"/>
                      <w:sz w:val="21"/>
                      <w:szCs w:val="21"/>
                    </w:rPr>
                    <w:t xml:space="preserve"> ）县</w:t>
                  </w:r>
                </w:p>
              </w:tc>
              <w:tc>
                <w:tcPr>
                  <w:tcW w:w="9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代县新高乡赵村神仙湾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地理坐标</w:t>
                  </w:r>
                </w:p>
              </w:tc>
              <w:tc>
                <w:tcPr>
                  <w:tcW w:w="7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经度</w:t>
                  </w:r>
                </w:p>
              </w:tc>
              <w:tc>
                <w:tcPr>
                  <w:tcW w:w="89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rPr>
                    <w:t>11</w:t>
                  </w:r>
                  <w:r>
                    <w:rPr>
                      <w:rFonts w:hint="eastAsia" w:ascii="Times New Roman" w:hAnsi="Times New Roman" w:eastAsia="宋体" w:cs="Times New Roman"/>
                      <w:bCs/>
                      <w:color w:val="auto"/>
                      <w:sz w:val="21"/>
                      <w:szCs w:val="21"/>
                    </w:rPr>
                    <w:t>2.545270</w:t>
                  </w:r>
                </w:p>
              </w:tc>
              <w:tc>
                <w:tcPr>
                  <w:tcW w:w="49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纬度</w:t>
                  </w:r>
                </w:p>
              </w:tc>
              <w:tc>
                <w:tcPr>
                  <w:tcW w:w="171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rPr>
                    <w:t>38.580705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主要危险物质及分布</w:t>
                  </w:r>
                </w:p>
              </w:tc>
              <w:tc>
                <w:tcPr>
                  <w:tcW w:w="3858" w:type="pct"/>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危险物质：废机油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环境影响途径及危害后果（大气、地表水、地下水等）</w:t>
                  </w:r>
                </w:p>
              </w:tc>
              <w:tc>
                <w:tcPr>
                  <w:tcW w:w="3858" w:type="pct"/>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color w:val="auto"/>
                      <w:sz w:val="21"/>
                      <w:szCs w:val="21"/>
                      <w:lang w:val="en-US" w:eastAsia="zh-CN"/>
                    </w:rPr>
                    <w:t>地下水环境：废机油外漏。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41"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风险防范措施要求</w:t>
                  </w:r>
                </w:p>
              </w:tc>
              <w:tc>
                <w:tcPr>
                  <w:tcW w:w="3858" w:type="pct"/>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配备黄沙等材料以及维修、通讯等应急工具。</w:t>
                  </w:r>
                  <w:r>
                    <w:rPr>
                      <w:rFonts w:ascii="Times New Roman" w:hAnsi="Times New Roman" w:eastAsia="宋体" w:cs="Times New Roman"/>
                      <w:color w:val="000000" w:themeColor="text1"/>
                      <w:sz w:val="24"/>
                      <w:szCs w:val="24"/>
                    </w:rPr>
                    <w:t>《建设项目环境风险评价技术导则》（HJ169-208）</w:t>
                  </w:r>
                </w:p>
              </w:tc>
            </w:tr>
          </w:tbl>
          <w:p>
            <w:pPr>
              <w:spacing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8、环境管理要求与环境监测计划</w:t>
            </w:r>
          </w:p>
          <w:p>
            <w:pPr>
              <w:spacing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8.1环境管理要求</w:t>
            </w:r>
          </w:p>
          <w:p>
            <w:pPr>
              <w:spacing w:line="500" w:lineRule="exact"/>
              <w:ind w:firstLine="573"/>
              <w:rPr>
                <w:rFonts w:ascii="Times New Roman" w:hAnsi="Times New Roman" w:eastAsia="宋体" w:cs="Times New Roman"/>
                <w:color w:val="000000" w:themeColor="text1"/>
                <w:sz w:val="24"/>
                <w:szCs w:val="20"/>
              </w:rPr>
            </w:pPr>
            <w:r>
              <w:rPr>
                <w:rFonts w:ascii="Times New Roman" w:hAnsi="Times New Roman" w:eastAsia="宋体" w:cs="Times New Roman"/>
                <w:color w:val="000000" w:themeColor="text1"/>
                <w:kern w:val="0"/>
                <w:sz w:val="24"/>
                <w:szCs w:val="28"/>
              </w:rPr>
              <w:t>加强管理是搞好企业环境保护工作、控制环境污染的重要保证，根据本项目的实际情况，企业可不设专门环保机构，但应有兼职的环保管理人员和1 名环保措施维护工人，负责治理设施主要是对废气、噪声和固废治理的维护、管理并及时对出现的环境问题进行处理。</w:t>
            </w:r>
            <w:r>
              <w:rPr>
                <w:rFonts w:ascii="Times New Roman" w:hAnsi="Times New Roman" w:eastAsia="宋体" w:cs="Times New Roman"/>
                <w:color w:val="000000" w:themeColor="text1"/>
                <w:sz w:val="24"/>
                <w:szCs w:val="20"/>
              </w:rPr>
              <w:t>运营期</w:t>
            </w:r>
            <w:r>
              <w:rPr>
                <w:rFonts w:ascii="Times New Roman" w:hAnsi="Times New Roman" w:eastAsia="宋体" w:cs="Times New Roman"/>
                <w:color w:val="000000" w:themeColor="text1"/>
                <w:kern w:val="0"/>
                <w:sz w:val="24"/>
                <w:szCs w:val="28"/>
              </w:rPr>
              <w:t>环保管理人员</w:t>
            </w:r>
            <w:r>
              <w:rPr>
                <w:rFonts w:ascii="Times New Roman" w:hAnsi="Times New Roman" w:eastAsia="宋体" w:cs="Times New Roman"/>
                <w:color w:val="000000" w:themeColor="text1"/>
                <w:sz w:val="24"/>
                <w:szCs w:val="20"/>
              </w:rPr>
              <w:t>的主要职责包括：</w:t>
            </w:r>
          </w:p>
          <w:p>
            <w:pPr>
              <w:spacing w:line="500" w:lineRule="exact"/>
              <w:ind w:firstLine="573"/>
              <w:rPr>
                <w:rFonts w:ascii="Times New Roman" w:hAnsi="Times New Roman" w:eastAsia="宋体" w:cs="Times New Roman"/>
                <w:color w:val="000000" w:themeColor="text1"/>
                <w:sz w:val="24"/>
                <w:szCs w:val="20"/>
              </w:rPr>
            </w:pPr>
            <w:r>
              <w:rPr>
                <w:rFonts w:ascii="Times New Roman" w:hAnsi="Times New Roman" w:eastAsia="宋体" w:cs="Times New Roman"/>
                <w:color w:val="000000" w:themeColor="text1"/>
                <w:sz w:val="24"/>
                <w:szCs w:val="20"/>
              </w:rPr>
              <w:t>①贯彻执行国家环境保护的方针、政策、法律、法规；</w:t>
            </w:r>
          </w:p>
          <w:p>
            <w:pPr>
              <w:spacing w:line="500" w:lineRule="exact"/>
              <w:ind w:firstLine="573"/>
              <w:rPr>
                <w:rFonts w:ascii="Times New Roman" w:hAnsi="Times New Roman" w:eastAsia="宋体" w:cs="Times New Roman"/>
                <w:color w:val="000000" w:themeColor="text1"/>
                <w:sz w:val="24"/>
                <w:szCs w:val="20"/>
              </w:rPr>
            </w:pPr>
            <w:r>
              <w:rPr>
                <w:rFonts w:ascii="Times New Roman" w:hAnsi="Times New Roman" w:eastAsia="宋体" w:cs="Times New Roman"/>
                <w:color w:val="000000" w:themeColor="text1"/>
                <w:sz w:val="24"/>
                <w:szCs w:val="20"/>
              </w:rPr>
              <w:t>②组织制定项目的环境保护规章制度和标准并督促检查执行，制定污染控制及改善环境质量计划；</w:t>
            </w:r>
          </w:p>
          <w:p>
            <w:pPr>
              <w:spacing w:line="500" w:lineRule="exact"/>
              <w:ind w:firstLine="573"/>
              <w:rPr>
                <w:rFonts w:ascii="Times New Roman" w:hAnsi="Times New Roman" w:eastAsia="宋体" w:cs="Times New Roman"/>
                <w:color w:val="000000" w:themeColor="text1"/>
                <w:sz w:val="24"/>
                <w:szCs w:val="20"/>
              </w:rPr>
            </w:pPr>
            <w:r>
              <w:rPr>
                <w:rFonts w:ascii="Times New Roman" w:hAnsi="Times New Roman" w:eastAsia="宋体" w:cs="Times New Roman"/>
                <w:color w:val="000000" w:themeColor="text1"/>
                <w:sz w:val="24"/>
                <w:szCs w:val="20"/>
              </w:rPr>
              <w:t>③负责组织环境监测、事故防范以及外部协调工作，负责组织突发事故的应急处理的善后事宜；</w:t>
            </w:r>
          </w:p>
          <w:p>
            <w:pPr>
              <w:spacing w:line="500" w:lineRule="exact"/>
              <w:ind w:firstLine="573"/>
              <w:rPr>
                <w:rFonts w:ascii="Times New Roman" w:hAnsi="Times New Roman" w:eastAsia="宋体" w:cs="Times New Roman"/>
                <w:color w:val="000000" w:themeColor="text1"/>
                <w:sz w:val="24"/>
                <w:szCs w:val="20"/>
              </w:rPr>
            </w:pPr>
            <w:r>
              <w:rPr>
                <w:rFonts w:ascii="Times New Roman" w:hAnsi="Times New Roman" w:eastAsia="宋体" w:cs="Times New Roman"/>
                <w:color w:val="000000" w:themeColor="text1"/>
                <w:sz w:val="24"/>
                <w:szCs w:val="20"/>
              </w:rPr>
              <w:t>④监督“三同时”规定的执行情况，确保环境保护设施与主体工程同时设计、同时施工、同时运行，有效控制污染；</w:t>
            </w:r>
          </w:p>
          <w:p>
            <w:pPr>
              <w:spacing w:line="500" w:lineRule="exact"/>
              <w:ind w:firstLine="573"/>
              <w:rPr>
                <w:rFonts w:ascii="Times New Roman" w:hAnsi="Times New Roman" w:eastAsia="宋体" w:cs="Times New Roman"/>
                <w:color w:val="000000" w:themeColor="text1"/>
                <w:sz w:val="24"/>
                <w:szCs w:val="20"/>
              </w:rPr>
            </w:pPr>
            <w:r>
              <w:rPr>
                <w:rFonts w:ascii="Times New Roman" w:hAnsi="Times New Roman" w:eastAsia="宋体" w:cs="Times New Roman"/>
                <w:color w:val="000000" w:themeColor="text1"/>
                <w:sz w:val="24"/>
                <w:szCs w:val="20"/>
              </w:rPr>
              <w:t>⑤检查本项目各环境保护设施的运行。</w:t>
            </w:r>
          </w:p>
          <w:p>
            <w:pPr>
              <w:spacing w:line="500" w:lineRule="exact"/>
              <w:ind w:firstLine="480" w:firstLineChars="200"/>
              <w:rPr>
                <w:rFonts w:ascii="Times New Roman" w:hAnsi="Times New Roman" w:cs="Times New Roman"/>
                <w:sz w:val="24"/>
              </w:rPr>
            </w:pPr>
            <w:r>
              <w:rPr>
                <w:rFonts w:ascii="Times New Roman" w:hAnsi="Times New Roman" w:cs="Times New Roman"/>
                <w:sz w:val="24"/>
              </w:rPr>
              <w:t>具体环境监管内容见下表。</w:t>
            </w:r>
          </w:p>
          <w:p>
            <w:pPr>
              <w:spacing w:line="480" w:lineRule="exact"/>
              <w:ind w:left="-108"/>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rPr>
              <w:t>2</w:t>
            </w:r>
            <w:r>
              <w:rPr>
                <w:rFonts w:hint="eastAsia" w:ascii="Times New Roman" w:hAnsi="Times New Roman" w:cs="Times New Roman"/>
                <w:b/>
                <w:sz w:val="24"/>
                <w:szCs w:val="24"/>
                <w:lang w:val="en-US" w:eastAsia="zh-CN"/>
              </w:rPr>
              <w:t>3</w:t>
            </w:r>
            <w:r>
              <w:rPr>
                <w:rFonts w:ascii="Times New Roman" w:hAnsi="Times New Roman" w:cs="Times New Roman"/>
                <w:b/>
                <w:sz w:val="24"/>
                <w:szCs w:val="24"/>
              </w:rPr>
              <w:t>环境监管内容一览表</w:t>
            </w:r>
          </w:p>
          <w:tbl>
            <w:tblPr>
              <w:tblStyle w:val="40"/>
              <w:tblW w:w="9106"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982"/>
              <w:gridCol w:w="2331"/>
              <w:gridCol w:w="579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1、环境法律法规标准</w:t>
                  </w:r>
                </w:p>
              </w:tc>
              <w:tc>
                <w:tcPr>
                  <w:tcW w:w="8124" w:type="dxa"/>
                  <w:gridSpan w:val="2"/>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符合国家、地方和行业有关法律、法规、规范、产业政策、技术标准要求，污染物排放达到国家、地方和行业排放标准、满足污染物总量控制和排污许可证管理要求</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313" w:type="dxa"/>
                  <w:gridSpan w:val="2"/>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2、环境管理审核</w:t>
                  </w:r>
                </w:p>
              </w:tc>
              <w:tc>
                <w:tcPr>
                  <w:tcW w:w="5793" w:type="dxa"/>
                  <w:tcBorders>
                    <w:tl2br w:val="nil"/>
                    <w:tr2bl w:val="nil"/>
                  </w:tcBorders>
                  <w:vAlign w:val="center"/>
                </w:tcPr>
                <w:p>
                  <w:pPr>
                    <w:tabs>
                      <w:tab w:val="left" w:pos="3060"/>
                    </w:tabs>
                    <w:ind w:right="-105" w:rightChars="-50"/>
                    <w:jc w:val="center"/>
                    <w:rPr>
                      <w:rFonts w:ascii="Times New Roman" w:hAnsi="Times New Roman" w:cs="Times New Roman"/>
                      <w:szCs w:val="21"/>
                    </w:rPr>
                  </w:pPr>
                  <w:r>
                    <w:rPr>
                      <w:rFonts w:ascii="Times New Roman" w:hAnsi="Times New Roman" w:cs="Times New Roman"/>
                      <w:szCs w:val="21"/>
                    </w:rPr>
                    <w:t>环境管理制度健全，原始记录及统计数据齐全、真实</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restart"/>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3、生产过程环境管理</w:t>
                  </w: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岗位培训</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主要岗位人员进行过岗前培训，取得本岗位资质证书，有岗位培训记录</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原辅材料、产品、能源消耗管理</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采用清洁原料和能源，有原材料质检制度和原材料消耗定额管理制度，对能耗、物耗有严格定量考核，对产品质量有考核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资料管理</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生产管理资料完整、记录齐全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生产管理</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有完善的岗位操作规程和考核制度，实行全过程管理，有量化指标的项目实施定量管理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设备管理</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主要设备有基本的管理制度，并严格执行，定期对主要设备由技术检测部门进行检测，并限期改造，对国家明令淘汰的高耗能、低效率的设备进行淘汰，采用节能设备和技术无故障率达95%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restart"/>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4、环境管理</w:t>
                  </w: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环境保护管理机构</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有专门环保管理机构配备专职管理人员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环境管理制度</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环境管理制度健全、完善、并纳入日常管理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环境管理计划</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制定近、远期计划，具备环境影响评价文件的批复和环境保护设施“三同时”验收合格文件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环保设施的运行管理</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记录运行数据并建立环保档案和运行监管机制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环境监测机构</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对废气、噪声主要污染源、污染物的监测，委托有资质的监测部门进行监测。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82" w:type="dxa"/>
                  <w:vMerge w:val="continue"/>
                  <w:tcBorders>
                    <w:tl2br w:val="nil"/>
                    <w:tr2bl w:val="nil"/>
                  </w:tcBorders>
                  <w:vAlign w:val="center"/>
                </w:tcPr>
                <w:p>
                  <w:pPr>
                    <w:widowControl/>
                    <w:jc w:val="left"/>
                    <w:rPr>
                      <w:rFonts w:ascii="Times New Roman" w:hAnsi="Times New Roman" w:cs="Times New Roman"/>
                      <w:szCs w:val="21"/>
                    </w:rPr>
                  </w:pPr>
                </w:p>
              </w:tc>
              <w:tc>
                <w:tcPr>
                  <w:tcW w:w="2331"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相关方环境管理</w:t>
                  </w:r>
                </w:p>
              </w:tc>
              <w:tc>
                <w:tcPr>
                  <w:tcW w:w="5793" w:type="dxa"/>
                  <w:tcBorders>
                    <w:tl2br w:val="nil"/>
                    <w:tr2bl w:val="nil"/>
                  </w:tcBorders>
                  <w:vAlign w:val="center"/>
                </w:tcPr>
                <w:p>
                  <w:pPr>
                    <w:tabs>
                      <w:tab w:val="left" w:pos="3060"/>
                    </w:tabs>
                    <w:jc w:val="center"/>
                    <w:rPr>
                      <w:rFonts w:ascii="Times New Roman" w:hAnsi="Times New Roman" w:cs="Times New Roman"/>
                      <w:szCs w:val="21"/>
                    </w:rPr>
                  </w:pPr>
                  <w:r>
                    <w:rPr>
                      <w:rFonts w:ascii="Times New Roman" w:hAnsi="Times New Roman" w:cs="Times New Roman"/>
                      <w:szCs w:val="21"/>
                    </w:rPr>
                    <w:t>服务协议中应明确原辅材料的供应方、协作方、服务方的环境管理要求</w:t>
                  </w:r>
                </w:p>
              </w:tc>
            </w:tr>
          </w:tbl>
          <w:p>
            <w:pPr>
              <w:spacing w:line="500" w:lineRule="exact"/>
              <w:ind w:firstLine="482" w:firstLineChars="200"/>
              <w:jc w:val="left"/>
              <w:rPr>
                <w:rFonts w:ascii="Times New Roman" w:hAnsi="Times New Roman" w:eastAsia="宋体" w:cs="Times New Roman"/>
                <w:b/>
                <w:color w:val="000000" w:themeColor="text1"/>
                <w:kern w:val="0"/>
                <w:sz w:val="24"/>
                <w:szCs w:val="24"/>
              </w:rPr>
            </w:pPr>
            <w:r>
              <w:rPr>
                <w:rFonts w:ascii="Times New Roman" w:hAnsi="Times New Roman" w:eastAsia="宋体" w:cs="Times New Roman"/>
                <w:b/>
                <w:color w:val="000000" w:themeColor="text1"/>
                <w:kern w:val="0"/>
                <w:sz w:val="24"/>
                <w:szCs w:val="24"/>
              </w:rPr>
              <w:t>8.2企业环境信息公开</w:t>
            </w:r>
          </w:p>
          <w:p>
            <w:pPr>
              <w:spacing w:line="500" w:lineRule="exact"/>
              <w:ind w:firstLine="573"/>
              <w:rPr>
                <w:rFonts w:ascii="Times New Roman" w:hAnsi="Times New Roman" w:cs="Times New Roman"/>
                <w:sz w:val="24"/>
                <w:szCs w:val="24"/>
              </w:rPr>
            </w:pPr>
            <w:r>
              <w:rPr>
                <w:rFonts w:ascii="Times New Roman" w:hAnsi="Times New Roman" w:cs="Times New Roman"/>
                <w:sz w:val="24"/>
                <w:szCs w:val="24"/>
              </w:rPr>
              <w:t>根据《企业事业单位环境信息公开办法》（环境保护部令第31号）的相关规定，企业事业单位应当建立健全本单位环境信息公开制度，指定机构负责本单位环境信息公开日常工作，通过其网站、企业事业单位环境信息公开平台或者当地报刊等便于公众知晓的方式公开环境信息，主要公开内容如下：</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①基础信息，包括单位名称、组织机构代码、法定代表人、生产地址、联系方式，以及生产经营和管理服务的主要内容、产品及规模；</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②排污信息，包括主要污染物及特征污染物的名称、排放方式、排放口数量和分布情况、排放浓度和总量、超标情况，以及执行的污染物排放标准、核定的排放总量；</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③污染防治设施的建设和运行情况；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④建设项目环境影响评价及其环境保护行政许可情况；</w:t>
            </w:r>
          </w:p>
          <w:p>
            <w:pPr>
              <w:spacing w:line="500" w:lineRule="exact"/>
              <w:ind w:firstLine="573"/>
              <w:rPr>
                <w:rFonts w:ascii="Times New Roman" w:hAnsi="Times New Roman" w:eastAsia="宋体" w:cs="Times New Roman"/>
                <w:color w:val="000000" w:themeColor="text1"/>
                <w:spacing w:val="4"/>
                <w:sz w:val="24"/>
                <w:szCs w:val="24"/>
              </w:rPr>
            </w:pPr>
            <w:r>
              <w:rPr>
                <w:rFonts w:ascii="Times New Roman" w:hAnsi="Times New Roman" w:cs="Times New Roman"/>
                <w:sz w:val="24"/>
                <w:szCs w:val="24"/>
              </w:rPr>
              <w:t>⑤其他应当公开的环境信息，如竣工环境保护验收备案、自行监测工作开展情况及监测结果等。</w:t>
            </w:r>
          </w:p>
          <w:p>
            <w:pPr>
              <w:spacing w:line="500" w:lineRule="exact"/>
              <w:ind w:firstLine="482" w:firstLineChars="200"/>
              <w:jc w:val="left"/>
              <w:rPr>
                <w:rFonts w:ascii="Times New Roman" w:hAnsi="Times New Roman" w:eastAsia="宋体" w:cs="Times New Roman"/>
                <w:b/>
                <w:color w:val="000000" w:themeColor="text1"/>
                <w:kern w:val="0"/>
                <w:sz w:val="24"/>
                <w:szCs w:val="24"/>
              </w:rPr>
            </w:pPr>
            <w:r>
              <w:rPr>
                <w:rFonts w:ascii="Times New Roman" w:hAnsi="Times New Roman" w:eastAsia="宋体" w:cs="Times New Roman"/>
                <w:b/>
                <w:color w:val="000000" w:themeColor="text1"/>
                <w:kern w:val="0"/>
                <w:sz w:val="24"/>
                <w:szCs w:val="24"/>
              </w:rPr>
              <w:t>8.3环境监测计划</w:t>
            </w:r>
          </w:p>
          <w:p>
            <w:pPr>
              <w:spacing w:line="500" w:lineRule="exact"/>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依据本工程污染特点和建设单位的实际情况制定环境监测计划，具体内容如下：</w:t>
            </w:r>
          </w:p>
          <w:p>
            <w:pPr>
              <w:spacing w:line="500" w:lineRule="exact"/>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监测内容包括废气污染源监测、厂界噪声监测等。监测点位、监测项目及监测频率的具体情况见表7-</w:t>
            </w:r>
            <w:r>
              <w:rPr>
                <w:rFonts w:hint="eastAsia" w:ascii="Times New Roman" w:hAnsi="Times New Roman" w:eastAsia="宋体" w:cs="Times New Roman"/>
                <w:color w:val="000000" w:themeColor="text1"/>
                <w:sz w:val="24"/>
                <w:szCs w:val="24"/>
              </w:rPr>
              <w:t>2</w:t>
            </w:r>
            <w:r>
              <w:rPr>
                <w:rFonts w:hint="eastAsia" w:ascii="Times New Roman" w:hAnsi="Times New Roman" w:eastAsia="宋体" w:cs="Times New Roman"/>
                <w:color w:val="000000" w:themeColor="text1"/>
                <w:sz w:val="24"/>
                <w:szCs w:val="24"/>
                <w:lang w:val="en-US" w:eastAsia="zh-CN"/>
              </w:rPr>
              <w:t>4</w:t>
            </w:r>
            <w:r>
              <w:rPr>
                <w:rFonts w:ascii="Times New Roman" w:hAnsi="Times New Roman" w:eastAsia="宋体" w:cs="Times New Roman"/>
                <w:color w:val="000000" w:themeColor="text1"/>
                <w:sz w:val="24"/>
                <w:szCs w:val="24"/>
              </w:rPr>
              <w:t>。</w:t>
            </w:r>
          </w:p>
          <w:p>
            <w:pPr>
              <w:spacing w:line="500" w:lineRule="exact"/>
              <w:jc w:val="center"/>
              <w:rPr>
                <w:rFonts w:ascii="Times New Roman" w:hAnsi="Times New Roman" w:cs="Times New Roman"/>
                <w:b/>
                <w:sz w:val="24"/>
                <w:szCs w:val="24"/>
              </w:rPr>
            </w:pPr>
            <w:r>
              <w:rPr>
                <w:rFonts w:ascii="Times New Roman" w:hAnsi="Times New Roman" w:cs="Times New Roman"/>
                <w:b/>
                <w:sz w:val="24"/>
                <w:szCs w:val="24"/>
              </w:rPr>
              <w:t>表7-</w:t>
            </w:r>
            <w:r>
              <w:rPr>
                <w:rFonts w:hint="eastAsia" w:ascii="Times New Roman" w:hAnsi="Times New Roman" w:cs="Times New Roman"/>
                <w:b/>
                <w:sz w:val="24"/>
                <w:szCs w:val="24"/>
              </w:rPr>
              <w:t>2</w:t>
            </w:r>
            <w:r>
              <w:rPr>
                <w:rFonts w:hint="eastAsia" w:ascii="Times New Roman" w:hAnsi="Times New Roman" w:cs="Times New Roman"/>
                <w:b/>
                <w:sz w:val="24"/>
                <w:szCs w:val="24"/>
                <w:lang w:val="en-US" w:eastAsia="zh-CN"/>
              </w:rPr>
              <w:t>4</w:t>
            </w:r>
            <w:r>
              <w:rPr>
                <w:rFonts w:ascii="Times New Roman" w:hAnsi="Times New Roman" w:cs="Times New Roman"/>
                <w:b/>
                <w:sz w:val="24"/>
                <w:szCs w:val="24"/>
              </w:rPr>
              <w:t>监</w:t>
            </w:r>
            <w:r>
              <w:rPr>
                <w:rFonts w:hint="eastAsia" w:ascii="Times New Roman" w:hAnsi="Times New Roman" w:cs="Times New Roman"/>
                <w:b/>
                <w:sz w:val="24"/>
                <w:szCs w:val="24"/>
              </w:rPr>
              <w:t>测</w:t>
            </w:r>
            <w:r>
              <w:rPr>
                <w:rFonts w:ascii="Times New Roman" w:hAnsi="Times New Roman" w:cs="Times New Roman"/>
                <w:b/>
                <w:sz w:val="24"/>
                <w:szCs w:val="24"/>
              </w:rPr>
              <w:t>计划表</w:t>
            </w:r>
          </w:p>
          <w:tbl>
            <w:tblPr>
              <w:tblStyle w:val="40"/>
              <w:tblW w:w="907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2781"/>
              <w:gridCol w:w="1130"/>
              <w:gridCol w:w="2514"/>
              <w:gridCol w:w="17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tcBorders>
                    <w:tl2br w:val="nil"/>
                    <w:tr2bl w:val="nil"/>
                  </w:tcBorders>
                  <w:vAlign w:val="center"/>
                </w:tcPr>
                <w:p>
                  <w:pPr>
                    <w:pStyle w:val="13"/>
                    <w:spacing w:before="78" w:line="240" w:lineRule="auto"/>
                    <w:rPr>
                      <w:b/>
                      <w:szCs w:val="21"/>
                    </w:rPr>
                  </w:pPr>
                  <w:r>
                    <w:rPr>
                      <w:b/>
                      <w:szCs w:val="21"/>
                    </w:rPr>
                    <w:t>类别</w:t>
                  </w:r>
                </w:p>
              </w:tc>
              <w:tc>
                <w:tcPr>
                  <w:tcW w:w="2781" w:type="dxa"/>
                  <w:tcBorders>
                    <w:tl2br w:val="nil"/>
                    <w:tr2bl w:val="nil"/>
                  </w:tcBorders>
                  <w:vAlign w:val="center"/>
                </w:tcPr>
                <w:p>
                  <w:pPr>
                    <w:pStyle w:val="13"/>
                    <w:spacing w:before="78" w:line="240" w:lineRule="auto"/>
                    <w:rPr>
                      <w:b/>
                      <w:szCs w:val="21"/>
                    </w:rPr>
                  </w:pPr>
                  <w:r>
                    <w:rPr>
                      <w:b/>
                      <w:szCs w:val="21"/>
                    </w:rPr>
                    <w:t>监测点位</w:t>
                  </w:r>
                </w:p>
              </w:tc>
              <w:tc>
                <w:tcPr>
                  <w:tcW w:w="1130" w:type="dxa"/>
                  <w:tcBorders>
                    <w:tl2br w:val="nil"/>
                    <w:tr2bl w:val="nil"/>
                  </w:tcBorders>
                  <w:vAlign w:val="center"/>
                </w:tcPr>
                <w:p>
                  <w:pPr>
                    <w:pStyle w:val="13"/>
                    <w:spacing w:before="78" w:line="240" w:lineRule="auto"/>
                    <w:rPr>
                      <w:b/>
                      <w:szCs w:val="21"/>
                    </w:rPr>
                  </w:pPr>
                  <w:r>
                    <w:rPr>
                      <w:b/>
                      <w:szCs w:val="21"/>
                    </w:rPr>
                    <w:t>点数</w:t>
                  </w:r>
                </w:p>
              </w:tc>
              <w:tc>
                <w:tcPr>
                  <w:tcW w:w="2514" w:type="dxa"/>
                  <w:tcBorders>
                    <w:tl2br w:val="nil"/>
                    <w:tr2bl w:val="nil"/>
                  </w:tcBorders>
                  <w:vAlign w:val="center"/>
                </w:tcPr>
                <w:p>
                  <w:pPr>
                    <w:pStyle w:val="13"/>
                    <w:spacing w:before="78" w:line="240" w:lineRule="auto"/>
                    <w:rPr>
                      <w:b/>
                      <w:szCs w:val="21"/>
                    </w:rPr>
                  </w:pPr>
                  <w:r>
                    <w:rPr>
                      <w:b/>
                      <w:szCs w:val="21"/>
                    </w:rPr>
                    <w:t>监测项目</w:t>
                  </w:r>
                </w:p>
              </w:tc>
              <w:tc>
                <w:tcPr>
                  <w:tcW w:w="1740" w:type="dxa"/>
                  <w:tcBorders>
                    <w:tl2br w:val="nil"/>
                    <w:tr2bl w:val="nil"/>
                  </w:tcBorders>
                  <w:vAlign w:val="center"/>
                </w:tcPr>
                <w:p>
                  <w:pPr>
                    <w:pStyle w:val="13"/>
                    <w:spacing w:before="78" w:line="240" w:lineRule="auto"/>
                    <w:rPr>
                      <w:b/>
                      <w:szCs w:val="21"/>
                    </w:rPr>
                  </w:pPr>
                  <w:r>
                    <w:rPr>
                      <w:b/>
                      <w:szCs w:val="21"/>
                    </w:rPr>
                    <w:t>监测频率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vMerge w:val="restart"/>
                  <w:tcBorders>
                    <w:tl2br w:val="nil"/>
                    <w:tr2bl w:val="nil"/>
                  </w:tcBorders>
                  <w:vAlign w:val="center"/>
                </w:tcPr>
                <w:p>
                  <w:pPr>
                    <w:pStyle w:val="13"/>
                    <w:spacing w:before="78" w:line="240" w:lineRule="auto"/>
                    <w:rPr>
                      <w:szCs w:val="21"/>
                    </w:rPr>
                  </w:pPr>
                  <w:r>
                    <w:rPr>
                      <w:szCs w:val="21"/>
                    </w:rPr>
                    <w:t>废气</w:t>
                  </w:r>
                </w:p>
              </w:tc>
              <w:tc>
                <w:tcPr>
                  <w:tcW w:w="278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破碎、振筛工序</w:t>
                  </w:r>
                </w:p>
              </w:tc>
              <w:tc>
                <w:tcPr>
                  <w:tcW w:w="1130" w:type="dxa"/>
                  <w:tcBorders>
                    <w:tl2br w:val="nil"/>
                    <w:tr2bl w:val="nil"/>
                  </w:tcBorders>
                  <w:vAlign w:val="center"/>
                </w:tcPr>
                <w:p>
                  <w:pPr>
                    <w:pStyle w:val="13"/>
                    <w:spacing w:before="78" w:line="240" w:lineRule="auto"/>
                    <w:rPr>
                      <w:szCs w:val="21"/>
                    </w:rPr>
                  </w:pPr>
                  <w:r>
                    <w:rPr>
                      <w:rFonts w:hint="eastAsia"/>
                      <w:szCs w:val="21"/>
                    </w:rPr>
                    <w:t>1</w:t>
                  </w:r>
                  <w:r>
                    <w:rPr>
                      <w:szCs w:val="21"/>
                    </w:rPr>
                    <w:t>个</w:t>
                  </w:r>
                </w:p>
              </w:tc>
              <w:tc>
                <w:tcPr>
                  <w:tcW w:w="2514" w:type="dxa"/>
                  <w:tcBorders>
                    <w:tl2br w:val="nil"/>
                    <w:tr2bl w:val="nil"/>
                  </w:tcBorders>
                  <w:vAlign w:val="center"/>
                </w:tcPr>
                <w:p>
                  <w:pPr>
                    <w:pStyle w:val="13"/>
                    <w:spacing w:before="78" w:line="240" w:lineRule="auto"/>
                    <w:rPr>
                      <w:szCs w:val="21"/>
                    </w:rPr>
                  </w:pPr>
                  <w:r>
                    <w:rPr>
                      <w:szCs w:val="21"/>
                    </w:rPr>
                    <w:t>颗粒物</w:t>
                  </w:r>
                </w:p>
              </w:tc>
              <w:tc>
                <w:tcPr>
                  <w:tcW w:w="1740" w:type="dxa"/>
                  <w:vMerge w:val="restart"/>
                  <w:tcBorders>
                    <w:tl2br w:val="nil"/>
                    <w:tr2bl w:val="nil"/>
                  </w:tcBorders>
                  <w:vAlign w:val="center"/>
                </w:tcPr>
                <w:p>
                  <w:pPr>
                    <w:pStyle w:val="13"/>
                    <w:spacing w:before="78" w:line="240" w:lineRule="auto"/>
                    <w:rPr>
                      <w:szCs w:val="21"/>
                    </w:rPr>
                  </w:pPr>
                  <w:r>
                    <w:rPr>
                      <w:bCs/>
                    </w:rPr>
                    <w:t>每年监测一次</w:t>
                  </w:r>
                  <w:r>
                    <w:rPr>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vMerge w:val="continue"/>
                  <w:tcBorders>
                    <w:tl2br w:val="nil"/>
                    <w:tr2bl w:val="nil"/>
                  </w:tcBorders>
                  <w:vAlign w:val="center"/>
                </w:tcPr>
                <w:p>
                  <w:pPr>
                    <w:widowControl/>
                    <w:jc w:val="center"/>
                    <w:rPr>
                      <w:rFonts w:ascii="Times New Roman" w:hAnsi="Times New Roman" w:cs="Times New Roman"/>
                      <w:szCs w:val="21"/>
                    </w:rPr>
                  </w:pPr>
                </w:p>
              </w:tc>
              <w:tc>
                <w:tcPr>
                  <w:tcW w:w="2781" w:type="dxa"/>
                  <w:tcBorders>
                    <w:tl2br w:val="nil"/>
                    <w:tr2bl w:val="nil"/>
                  </w:tcBorders>
                  <w:vAlign w:val="center"/>
                </w:tcPr>
                <w:p>
                  <w:pPr>
                    <w:pStyle w:val="13"/>
                    <w:spacing w:before="78" w:line="240" w:lineRule="auto"/>
                    <w:rPr>
                      <w:szCs w:val="21"/>
                    </w:rPr>
                  </w:pPr>
                  <w:r>
                    <w:rPr>
                      <w:szCs w:val="21"/>
                    </w:rPr>
                    <w:t>厂界上风向1个点位，厂区下风向3个点位</w:t>
                  </w:r>
                </w:p>
              </w:tc>
              <w:tc>
                <w:tcPr>
                  <w:tcW w:w="1130" w:type="dxa"/>
                  <w:tcBorders>
                    <w:tl2br w:val="nil"/>
                    <w:tr2bl w:val="nil"/>
                  </w:tcBorders>
                  <w:vAlign w:val="center"/>
                </w:tcPr>
                <w:p>
                  <w:pPr>
                    <w:pStyle w:val="13"/>
                    <w:spacing w:before="78" w:line="240" w:lineRule="auto"/>
                    <w:rPr>
                      <w:szCs w:val="21"/>
                    </w:rPr>
                  </w:pPr>
                  <w:r>
                    <w:rPr>
                      <w:szCs w:val="21"/>
                    </w:rPr>
                    <w:t>4个</w:t>
                  </w:r>
                </w:p>
              </w:tc>
              <w:tc>
                <w:tcPr>
                  <w:tcW w:w="2514" w:type="dxa"/>
                  <w:tcBorders>
                    <w:tl2br w:val="nil"/>
                    <w:tr2bl w:val="nil"/>
                  </w:tcBorders>
                  <w:vAlign w:val="center"/>
                </w:tcPr>
                <w:p>
                  <w:pPr>
                    <w:pStyle w:val="13"/>
                    <w:spacing w:before="78" w:line="240" w:lineRule="auto"/>
                    <w:rPr>
                      <w:szCs w:val="21"/>
                    </w:rPr>
                  </w:pPr>
                  <w:r>
                    <w:rPr>
                      <w:szCs w:val="21"/>
                    </w:rPr>
                    <w:t>颗粒物无组织排放</w:t>
                  </w:r>
                </w:p>
              </w:tc>
              <w:tc>
                <w:tcPr>
                  <w:tcW w:w="1740" w:type="dxa"/>
                  <w:vMerge w:val="continue"/>
                  <w:tcBorders>
                    <w:tl2br w:val="nil"/>
                    <w:tr2bl w:val="nil"/>
                  </w:tcBorders>
                  <w:vAlign w:val="center"/>
                </w:tcPr>
                <w:p>
                  <w:pPr>
                    <w:widowControl/>
                    <w:jc w:val="center"/>
                    <w:rPr>
                      <w:rFonts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tcBorders>
                    <w:tl2br w:val="nil"/>
                    <w:tr2bl w:val="nil"/>
                  </w:tcBorders>
                  <w:vAlign w:val="center"/>
                </w:tcPr>
                <w:p>
                  <w:pPr>
                    <w:pStyle w:val="13"/>
                    <w:spacing w:before="78" w:line="240" w:lineRule="auto"/>
                    <w:rPr>
                      <w:szCs w:val="21"/>
                    </w:rPr>
                  </w:pPr>
                  <w:r>
                    <w:rPr>
                      <w:szCs w:val="21"/>
                    </w:rPr>
                    <w:t>噪声</w:t>
                  </w:r>
                </w:p>
              </w:tc>
              <w:tc>
                <w:tcPr>
                  <w:tcW w:w="2781" w:type="dxa"/>
                  <w:tcBorders>
                    <w:tl2br w:val="nil"/>
                    <w:tr2bl w:val="nil"/>
                  </w:tcBorders>
                  <w:vAlign w:val="center"/>
                </w:tcPr>
                <w:p>
                  <w:pPr>
                    <w:pStyle w:val="13"/>
                    <w:spacing w:before="78" w:line="240" w:lineRule="auto"/>
                    <w:rPr>
                      <w:szCs w:val="21"/>
                    </w:rPr>
                  </w:pPr>
                  <w:r>
                    <w:rPr>
                      <w:szCs w:val="21"/>
                    </w:rPr>
                    <w:t>厂界四周外1m</w:t>
                  </w:r>
                </w:p>
              </w:tc>
              <w:tc>
                <w:tcPr>
                  <w:tcW w:w="1130" w:type="dxa"/>
                  <w:tcBorders>
                    <w:tl2br w:val="nil"/>
                    <w:tr2bl w:val="nil"/>
                  </w:tcBorders>
                  <w:vAlign w:val="center"/>
                </w:tcPr>
                <w:p>
                  <w:pPr>
                    <w:pStyle w:val="13"/>
                    <w:spacing w:before="78" w:line="240" w:lineRule="auto"/>
                    <w:rPr>
                      <w:szCs w:val="21"/>
                    </w:rPr>
                  </w:pPr>
                  <w:r>
                    <w:rPr>
                      <w:szCs w:val="21"/>
                    </w:rPr>
                    <w:t>4个</w:t>
                  </w:r>
                </w:p>
              </w:tc>
              <w:tc>
                <w:tcPr>
                  <w:tcW w:w="2514" w:type="dxa"/>
                  <w:tcBorders>
                    <w:tl2br w:val="nil"/>
                    <w:tr2bl w:val="nil"/>
                  </w:tcBorders>
                  <w:vAlign w:val="center"/>
                </w:tcPr>
                <w:p>
                  <w:pPr>
                    <w:pStyle w:val="13"/>
                    <w:spacing w:before="78" w:line="240" w:lineRule="auto"/>
                    <w:rPr>
                      <w:szCs w:val="21"/>
                    </w:rPr>
                  </w:pPr>
                  <w:r>
                    <w:t>统计L</w:t>
                  </w:r>
                  <w:r>
                    <w:rPr>
                      <w:vertAlign w:val="subscript"/>
                    </w:rPr>
                    <w:t>10</w:t>
                  </w:r>
                  <w:r>
                    <w:t>、L</w:t>
                  </w:r>
                  <w:r>
                    <w:rPr>
                      <w:vertAlign w:val="subscript"/>
                    </w:rPr>
                    <w:t>50</w:t>
                  </w:r>
                  <w:r>
                    <w:t>、L</w:t>
                  </w:r>
                  <w:r>
                    <w:rPr>
                      <w:vertAlign w:val="subscript"/>
                    </w:rPr>
                    <w:t>90</w:t>
                  </w:r>
                  <w:r>
                    <w:t>及Leq</w:t>
                  </w:r>
                </w:p>
              </w:tc>
              <w:tc>
                <w:tcPr>
                  <w:tcW w:w="1740" w:type="dxa"/>
                  <w:tcBorders>
                    <w:tl2br w:val="nil"/>
                    <w:tr2bl w:val="nil"/>
                  </w:tcBorders>
                  <w:vAlign w:val="center"/>
                </w:tcPr>
                <w:p>
                  <w:pPr>
                    <w:pStyle w:val="13"/>
                    <w:spacing w:before="78" w:line="240" w:lineRule="auto"/>
                    <w:rPr>
                      <w:szCs w:val="21"/>
                    </w:rPr>
                  </w:pPr>
                  <w:r>
                    <w:rPr>
                      <w:bCs/>
                      <w:szCs w:val="21"/>
                    </w:rPr>
                    <w:t>每季度监测一次</w:t>
                  </w:r>
                </w:p>
              </w:tc>
            </w:tr>
          </w:tbl>
          <w:p>
            <w:pPr>
              <w:snapToGrid w:val="0"/>
              <w:spacing w:line="500" w:lineRule="exact"/>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对监测结果进行统计汇总，上报有关领导和上级主管部门，监测结果如有异常，应及时反馈生产管理部门，查找原因，及时解决。</w:t>
            </w:r>
          </w:p>
          <w:p>
            <w:pPr>
              <w:spacing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9、项目环保措施汇总表</w:t>
            </w:r>
          </w:p>
          <w:p>
            <w:pPr>
              <w:spacing w:line="50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项目排放清单及环保措施汇总表见表7-</w:t>
            </w:r>
            <w:r>
              <w:rPr>
                <w:rFonts w:hint="eastAsia" w:ascii="Times New Roman" w:hAnsi="Times New Roman" w:eastAsia="宋体" w:cs="Times New Roman"/>
                <w:color w:val="000000" w:themeColor="text1"/>
                <w:sz w:val="24"/>
                <w:szCs w:val="24"/>
              </w:rPr>
              <w:t>2</w:t>
            </w:r>
            <w:r>
              <w:rPr>
                <w:rFonts w:hint="eastAsia" w:ascii="Times New Roman" w:hAnsi="Times New Roman" w:eastAsia="宋体" w:cs="Times New Roman"/>
                <w:color w:val="000000" w:themeColor="text1"/>
                <w:sz w:val="24"/>
                <w:szCs w:val="24"/>
                <w:lang w:val="en-US" w:eastAsia="zh-CN"/>
              </w:rPr>
              <w:t>5</w:t>
            </w:r>
            <w:r>
              <w:rPr>
                <w:rFonts w:ascii="Times New Roman" w:hAnsi="Times New Roman" w:eastAsia="宋体" w:cs="Times New Roman"/>
                <w:color w:val="000000" w:themeColor="text1"/>
                <w:sz w:val="24"/>
                <w:szCs w:val="24"/>
              </w:rPr>
              <w:t>。</w:t>
            </w:r>
          </w:p>
        </w:tc>
      </w:tr>
    </w:tbl>
    <w:p>
      <w:pPr>
        <w:rPr>
          <w:rFonts w:ascii="Times New Roman" w:hAnsi="Times New Roman" w:eastAsia="黑体" w:cs="Times New Roman"/>
          <w:bCs/>
          <w:color w:val="000000" w:themeColor="text1"/>
          <w:sz w:val="32"/>
          <w:szCs w:val="32"/>
        </w:rPr>
        <w:sectPr>
          <w:footerReference r:id="rId8" w:type="default"/>
          <w:pgSz w:w="11906" w:h="16838"/>
          <w:pgMar w:top="1440" w:right="1418" w:bottom="1440" w:left="1418" w:header="851" w:footer="992" w:gutter="0"/>
          <w:pgNumType w:start="18"/>
          <w:cols w:space="425" w:num="1"/>
          <w:docGrid w:type="lines" w:linePitch="312" w:charSpace="0"/>
        </w:sectPr>
      </w:pPr>
    </w:p>
    <w:p>
      <w:pPr>
        <w:spacing w:line="480" w:lineRule="exact"/>
        <w:jc w:val="center"/>
        <w:rPr>
          <w:rFonts w:ascii="Times New Roman" w:hAnsi="Times New Roman" w:eastAsia="宋体" w:cs="Times New Roman"/>
          <w:color w:val="000000" w:themeColor="text1"/>
          <w:sz w:val="24"/>
          <w:szCs w:val="24"/>
        </w:rPr>
      </w:pPr>
      <w:r>
        <w:rPr>
          <w:rFonts w:ascii="Times New Roman" w:hAnsi="Times New Roman" w:eastAsia="宋体" w:cs="Times New Roman"/>
          <w:b/>
          <w:color w:val="000000" w:themeColor="text1"/>
          <w:sz w:val="24"/>
          <w:szCs w:val="24"/>
        </w:rPr>
        <w:t>表</w:t>
      </w:r>
      <w:r>
        <w:rPr>
          <w:rFonts w:hint="eastAsia" w:ascii="Times New Roman" w:hAnsi="Times New Roman" w:eastAsia="宋体" w:cs="Times New Roman"/>
          <w:b/>
          <w:color w:val="000000" w:themeColor="text1"/>
          <w:sz w:val="24"/>
          <w:szCs w:val="24"/>
        </w:rPr>
        <w:t>7-2</w:t>
      </w:r>
      <w:r>
        <w:rPr>
          <w:rFonts w:hint="eastAsia" w:ascii="Times New Roman" w:hAnsi="Times New Roman" w:eastAsia="宋体" w:cs="Times New Roman"/>
          <w:b/>
          <w:color w:val="000000" w:themeColor="text1"/>
          <w:sz w:val="24"/>
          <w:szCs w:val="24"/>
          <w:lang w:val="en-US" w:eastAsia="zh-CN"/>
        </w:rPr>
        <w:t>5</w:t>
      </w:r>
      <w:r>
        <w:rPr>
          <w:rFonts w:ascii="Times New Roman" w:hAnsi="Times New Roman" w:eastAsia="宋体" w:cs="Times New Roman"/>
          <w:b/>
          <w:color w:val="000000" w:themeColor="text1"/>
          <w:sz w:val="24"/>
          <w:szCs w:val="24"/>
        </w:rPr>
        <w:t>项目排放清单及环保措施汇总表</w:t>
      </w:r>
    </w:p>
    <w:tbl>
      <w:tblPr>
        <w:tblStyle w:val="40"/>
        <w:tblW w:w="13988"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57" w:type="dxa"/>
          <w:left w:w="108" w:type="dxa"/>
          <w:bottom w:w="57" w:type="dxa"/>
          <w:right w:w="108" w:type="dxa"/>
        </w:tblCellMar>
      </w:tblPr>
      <w:tblGrid>
        <w:gridCol w:w="602"/>
        <w:gridCol w:w="1500"/>
        <w:gridCol w:w="1102"/>
        <w:gridCol w:w="5811"/>
        <w:gridCol w:w="1024"/>
        <w:gridCol w:w="1208"/>
        <w:gridCol w:w="2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340" w:hRule="atLeast"/>
        </w:trPr>
        <w:tc>
          <w:tcPr>
            <w:tcW w:w="602" w:type="dxa"/>
            <w:tcBorders>
              <w:tl2br w:val="nil"/>
              <w:tr2bl w:val="nil"/>
            </w:tcBorders>
            <w:tcMar>
              <w:top w:w="57" w:type="dxa"/>
              <w:left w:w="0" w:type="dxa"/>
              <w:bottom w:w="57" w:type="dxa"/>
              <w:right w:w="0" w:type="dxa"/>
            </w:tcMar>
            <w:vAlign w:val="center"/>
          </w:tcPr>
          <w:p>
            <w:pPr>
              <w:ind w:left="-63" w:leftChars="-30" w:right="-63" w:rightChars="-3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序号</w:t>
            </w:r>
          </w:p>
        </w:tc>
        <w:tc>
          <w:tcPr>
            <w:tcW w:w="1500" w:type="dxa"/>
            <w:tcBorders>
              <w:tl2br w:val="nil"/>
              <w:tr2bl w:val="nil"/>
            </w:tcBorders>
            <w:tcMar>
              <w:top w:w="57" w:type="dxa"/>
              <w:left w:w="0" w:type="dxa"/>
              <w:bottom w:w="57" w:type="dxa"/>
              <w:right w:w="0" w:type="dxa"/>
            </w:tcMar>
            <w:vAlign w:val="center"/>
          </w:tcPr>
          <w:p>
            <w:pPr>
              <w:ind w:left="-63" w:leftChars="-30" w:right="-63" w:rightChars="-3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项目</w:t>
            </w:r>
          </w:p>
        </w:tc>
        <w:tc>
          <w:tcPr>
            <w:tcW w:w="11886" w:type="dxa"/>
            <w:gridSpan w:val="5"/>
            <w:tcBorders>
              <w:tl2br w:val="nil"/>
              <w:tr2bl w:val="nil"/>
            </w:tcBorders>
            <w:tcMar>
              <w:top w:w="57" w:type="dxa"/>
              <w:left w:w="0" w:type="dxa"/>
              <w:bottom w:w="57" w:type="dxa"/>
              <w:right w:w="0" w:type="dxa"/>
            </w:tcMar>
            <w:vAlign w:val="center"/>
          </w:tcPr>
          <w:p>
            <w:pPr>
              <w:ind w:left="-63" w:leftChars="-30" w:right="-63" w:rightChars="-3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340" w:hRule="atLeast"/>
        </w:trPr>
        <w:tc>
          <w:tcPr>
            <w:tcW w:w="602" w:type="dxa"/>
            <w:tcBorders>
              <w:tl2br w:val="nil"/>
              <w:tr2bl w:val="nil"/>
            </w:tcBorders>
            <w:tcMar>
              <w:top w:w="57" w:type="dxa"/>
              <w:left w:w="0" w:type="dxa"/>
              <w:bottom w:w="57" w:type="dxa"/>
              <w:right w:w="0" w:type="dxa"/>
            </w:tcMar>
            <w:vAlign w:val="center"/>
          </w:tcPr>
          <w:p>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1500" w:type="dxa"/>
            <w:tcBorders>
              <w:tl2br w:val="nil"/>
              <w:tr2bl w:val="nil"/>
            </w:tcBorders>
            <w:tcMar>
              <w:top w:w="57" w:type="dxa"/>
              <w:left w:w="0" w:type="dxa"/>
              <w:bottom w:w="57" w:type="dxa"/>
              <w:right w:w="0" w:type="dxa"/>
            </w:tcMar>
            <w:vAlign w:val="center"/>
          </w:tcPr>
          <w:p>
            <w:pPr>
              <w:jc w:val="center"/>
              <w:rPr>
                <w:rFonts w:ascii="Times New Roman" w:hAnsi="Times New Roman" w:eastAsia="宋体" w:cs="Times New Roman"/>
                <w:color w:val="000000" w:themeColor="text1"/>
                <w:spacing w:val="4"/>
                <w:szCs w:val="21"/>
              </w:rPr>
            </w:pPr>
            <w:r>
              <w:rPr>
                <w:rFonts w:ascii="Times New Roman" w:hAnsi="Times New Roman" w:eastAsia="宋体" w:cs="Times New Roman"/>
                <w:color w:val="000000" w:themeColor="text1"/>
                <w:spacing w:val="4"/>
                <w:szCs w:val="21"/>
              </w:rPr>
              <w:t>工程组成</w:t>
            </w:r>
          </w:p>
        </w:tc>
        <w:tc>
          <w:tcPr>
            <w:tcW w:w="11886" w:type="dxa"/>
            <w:gridSpan w:val="5"/>
            <w:tcBorders>
              <w:tl2br w:val="nil"/>
              <w:tr2bl w:val="nil"/>
            </w:tcBorders>
            <w:tcMar>
              <w:top w:w="57" w:type="dxa"/>
              <w:left w:w="0" w:type="dxa"/>
              <w:bottom w:w="57" w:type="dxa"/>
              <w:right w:w="0" w:type="dxa"/>
            </w:tcMar>
            <w:vAlign w:val="center"/>
          </w:tcPr>
          <w:p>
            <w:pPr>
              <w:rPr>
                <w:rFonts w:ascii="Times New Roman" w:hAnsi="Times New Roman" w:eastAsia="宋体" w:cs="Times New Roman"/>
                <w:color w:val="000000" w:themeColor="text1"/>
                <w:spacing w:val="4"/>
                <w:szCs w:val="21"/>
              </w:rPr>
            </w:pPr>
            <w:r>
              <w:rPr>
                <w:rFonts w:ascii="Times New Roman" w:hAnsi="Times New Roman" w:eastAsia="宋体" w:cs="Times New Roman"/>
                <w:color w:val="000000" w:themeColor="text1"/>
                <w:spacing w:val="4"/>
                <w:szCs w:val="21"/>
              </w:rPr>
              <w:t>本项目位于</w:t>
            </w:r>
            <w:r>
              <w:rPr>
                <w:rFonts w:hint="eastAsia" w:ascii="Times New Roman" w:hAnsi="Times New Roman" w:eastAsia="宋体" w:cs="Times New Roman"/>
                <w:color w:val="000000" w:themeColor="text1"/>
                <w:spacing w:val="4"/>
                <w:szCs w:val="21"/>
              </w:rPr>
              <w:t>山西省忻州市代县新高乡周流村南</w:t>
            </w:r>
            <w:r>
              <w:rPr>
                <w:rFonts w:ascii="Times New Roman" w:hAnsi="Times New Roman" w:eastAsia="宋体" w:cs="Times New Roman"/>
                <w:color w:val="000000" w:themeColor="text1"/>
                <w:spacing w:val="4"/>
                <w:szCs w:val="21"/>
              </w:rPr>
              <w:t>，主要建设</w:t>
            </w:r>
            <w:r>
              <w:rPr>
                <w:rFonts w:hint="eastAsia" w:ascii="Times New Roman" w:hAnsi="Times New Roman" w:eastAsia="宋体" w:cs="Times New Roman"/>
                <w:color w:val="000000" w:themeColor="text1"/>
                <w:spacing w:val="4"/>
                <w:szCs w:val="21"/>
              </w:rPr>
              <w:t>新建厂房600平方米，办公用房125平方米，购置主要生产设备</w:t>
            </w:r>
            <w:r>
              <w:rPr>
                <w:rFonts w:ascii="Times New Roman" w:hAnsi="Times New Roman" w:eastAsia="宋体" w:cs="Times New Roman"/>
                <w:color w:val="000000" w:themeColor="text1"/>
                <w:spacing w:val="4"/>
                <w:szCs w:val="21"/>
              </w:rPr>
              <w:t>。建设规模为</w:t>
            </w:r>
            <w:r>
              <w:rPr>
                <w:rFonts w:hint="eastAsia" w:ascii="Times New Roman" w:hAnsi="Times New Roman" w:eastAsia="宋体" w:cs="Times New Roman"/>
                <w:color w:val="000000" w:themeColor="text1"/>
                <w:spacing w:val="4"/>
                <w:szCs w:val="21"/>
              </w:rPr>
              <w:t>年产10万吨机制石料项目</w:t>
            </w:r>
            <w:r>
              <w:rPr>
                <w:rFonts w:ascii="Times New Roman" w:hAnsi="Times New Roman" w:eastAsia="宋体" w:cs="Times New Roman"/>
                <w:color w:val="000000" w:themeColor="text1"/>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340" w:hRule="atLeast"/>
        </w:trPr>
        <w:tc>
          <w:tcPr>
            <w:tcW w:w="602" w:type="dxa"/>
            <w:tcBorders>
              <w:tl2br w:val="nil"/>
              <w:tr2bl w:val="nil"/>
            </w:tcBorders>
            <w:tcMar>
              <w:top w:w="57" w:type="dxa"/>
              <w:left w:w="0" w:type="dxa"/>
              <w:bottom w:w="57" w:type="dxa"/>
              <w:right w:w="0" w:type="dxa"/>
            </w:tcMar>
            <w:vAlign w:val="center"/>
          </w:tcPr>
          <w:p>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1500" w:type="dxa"/>
            <w:tcBorders>
              <w:tl2br w:val="nil"/>
              <w:tr2bl w:val="nil"/>
            </w:tcBorders>
            <w:tcMar>
              <w:top w:w="57" w:type="dxa"/>
              <w:left w:w="0" w:type="dxa"/>
              <w:bottom w:w="57" w:type="dxa"/>
              <w:right w:w="0" w:type="dxa"/>
            </w:tcMar>
            <w:vAlign w:val="center"/>
          </w:tcPr>
          <w:p>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原辅材料</w:t>
            </w:r>
          </w:p>
        </w:tc>
        <w:tc>
          <w:tcPr>
            <w:tcW w:w="11886" w:type="dxa"/>
            <w:gridSpan w:val="5"/>
            <w:tcBorders>
              <w:tl2br w:val="nil"/>
              <w:tr2bl w:val="nil"/>
            </w:tcBorders>
            <w:tcMar>
              <w:top w:w="57" w:type="dxa"/>
              <w:left w:w="0" w:type="dxa"/>
              <w:bottom w:w="57" w:type="dxa"/>
              <w:right w:w="0" w:type="dxa"/>
            </w:tcMar>
            <w:vAlign w:val="center"/>
          </w:tcPr>
          <w:p>
            <w:pPr>
              <w:widowControl/>
              <w:adjustRightInd w:val="0"/>
              <w:snapToGrid w:val="0"/>
              <w:rPr>
                <w:rFonts w:ascii="Times New Roman" w:hAnsi="Times New Roman" w:eastAsia="宋体" w:cs="Times New Roman"/>
                <w:b/>
                <w:color w:val="000000" w:themeColor="text1"/>
                <w:szCs w:val="21"/>
              </w:rPr>
            </w:pPr>
            <w:r>
              <w:rPr>
                <w:rFonts w:ascii="Times New Roman" w:hAnsi="Times New Roman" w:cs="Times New Roman"/>
                <w:color w:val="000000" w:themeColor="text1"/>
                <w:szCs w:val="21"/>
              </w:rPr>
              <w:t>本项目原辅料主要为</w:t>
            </w:r>
            <w:r>
              <w:rPr>
                <w:rFonts w:hint="eastAsia" w:ascii="Times New Roman" w:hAnsi="Times New Roman" w:cs="Times New Roman"/>
                <w:color w:val="000000" w:themeColor="text1"/>
                <w:szCs w:val="21"/>
              </w:rPr>
              <w:t>尾矿废石、</w:t>
            </w:r>
            <w:r>
              <w:rPr>
                <w:rFonts w:ascii="Times New Roman" w:hAnsi="Times New Roman" w:cs="Times New Roman"/>
                <w:color w:val="000000" w:themeColor="text1"/>
                <w:szCs w:val="21"/>
              </w:rPr>
              <w:t>水、电等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340" w:hRule="atLeast"/>
        </w:trPr>
        <w:tc>
          <w:tcPr>
            <w:tcW w:w="602" w:type="dxa"/>
            <w:vMerge w:val="restart"/>
            <w:tcBorders>
              <w:tl2br w:val="nil"/>
              <w:tr2bl w:val="nil"/>
            </w:tcBorders>
            <w:tcMar>
              <w:top w:w="57" w:type="dxa"/>
              <w:left w:w="0" w:type="dxa"/>
              <w:bottom w:w="57" w:type="dxa"/>
              <w:right w:w="0" w:type="dxa"/>
            </w:tcMar>
            <w:vAlign w:val="center"/>
          </w:tcPr>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内容</w:t>
            </w:r>
          </w:p>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类型</w:t>
            </w:r>
          </w:p>
        </w:tc>
        <w:tc>
          <w:tcPr>
            <w:tcW w:w="1500" w:type="dxa"/>
            <w:tcBorders>
              <w:tl2br w:val="nil"/>
              <w:tr2bl w:val="nil"/>
            </w:tcBorders>
            <w:tcMar>
              <w:top w:w="57" w:type="dxa"/>
              <w:left w:w="0" w:type="dxa"/>
              <w:bottom w:w="57" w:type="dxa"/>
              <w:right w:w="0" w:type="dxa"/>
            </w:tcMar>
            <w:vAlign w:val="center"/>
          </w:tcPr>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排放源</w:t>
            </w:r>
          </w:p>
        </w:tc>
        <w:tc>
          <w:tcPr>
            <w:tcW w:w="1102" w:type="dxa"/>
            <w:vMerge w:val="restart"/>
            <w:tcBorders>
              <w:tl2br w:val="nil"/>
              <w:tr2bl w:val="nil"/>
            </w:tcBorders>
            <w:tcMar>
              <w:top w:w="57" w:type="dxa"/>
              <w:left w:w="0" w:type="dxa"/>
              <w:bottom w:w="57" w:type="dxa"/>
              <w:right w:w="0" w:type="dxa"/>
            </w:tcMar>
            <w:vAlign w:val="center"/>
          </w:tcPr>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污染物</w:t>
            </w:r>
          </w:p>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名称</w:t>
            </w:r>
          </w:p>
        </w:tc>
        <w:tc>
          <w:tcPr>
            <w:tcW w:w="5811" w:type="dxa"/>
            <w:vMerge w:val="restart"/>
            <w:tcBorders>
              <w:tl2br w:val="nil"/>
              <w:tr2bl w:val="nil"/>
            </w:tcBorders>
            <w:vAlign w:val="center"/>
          </w:tcPr>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防治措施</w:t>
            </w:r>
          </w:p>
        </w:tc>
        <w:tc>
          <w:tcPr>
            <w:tcW w:w="2232" w:type="dxa"/>
            <w:gridSpan w:val="2"/>
            <w:tcBorders>
              <w:tl2br w:val="nil"/>
              <w:tr2bl w:val="nil"/>
            </w:tcBorders>
            <w:vAlign w:val="center"/>
          </w:tcPr>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排放情况</w:t>
            </w:r>
          </w:p>
        </w:tc>
        <w:tc>
          <w:tcPr>
            <w:tcW w:w="2741" w:type="dxa"/>
            <w:vMerge w:val="restart"/>
            <w:tcBorders>
              <w:tl2br w:val="nil"/>
              <w:tr2bl w:val="nil"/>
            </w:tcBorders>
            <w:vAlign w:val="center"/>
          </w:tcPr>
          <w:p>
            <w:pPr>
              <w:widowControl/>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518" w:hRule="atLeast"/>
        </w:trPr>
        <w:tc>
          <w:tcPr>
            <w:tcW w:w="602" w:type="dxa"/>
            <w:vMerge w:val="continue"/>
            <w:tcBorders>
              <w:tl2br w:val="nil"/>
              <w:tr2bl w:val="nil"/>
            </w:tcBorders>
            <w:vAlign w:val="center"/>
          </w:tcPr>
          <w:p>
            <w:pPr>
              <w:widowControl/>
              <w:jc w:val="left"/>
              <w:rPr>
                <w:rFonts w:ascii="Times New Roman" w:hAnsi="Times New Roman" w:eastAsia="宋体" w:cs="Times New Roman"/>
                <w:b/>
                <w:color w:val="000000" w:themeColor="text1"/>
                <w:szCs w:val="21"/>
              </w:rPr>
            </w:pPr>
          </w:p>
        </w:tc>
        <w:tc>
          <w:tcPr>
            <w:tcW w:w="1500" w:type="dxa"/>
            <w:tcBorders>
              <w:tl2br w:val="nil"/>
              <w:tr2bl w:val="nil"/>
            </w:tcBorders>
            <w:tcMar>
              <w:top w:w="57" w:type="dxa"/>
              <w:left w:w="0" w:type="dxa"/>
              <w:bottom w:w="57" w:type="dxa"/>
              <w:right w:w="0" w:type="dxa"/>
            </w:tcMar>
            <w:vAlign w:val="center"/>
          </w:tcPr>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污染源</w:t>
            </w:r>
          </w:p>
        </w:tc>
        <w:tc>
          <w:tcPr>
            <w:tcW w:w="1102" w:type="dxa"/>
            <w:vMerge w:val="continue"/>
            <w:tcBorders>
              <w:tl2br w:val="nil"/>
              <w:tr2bl w:val="nil"/>
            </w:tcBorders>
            <w:vAlign w:val="center"/>
          </w:tcPr>
          <w:p>
            <w:pPr>
              <w:widowControl/>
              <w:jc w:val="left"/>
              <w:rPr>
                <w:rFonts w:ascii="Times New Roman" w:hAnsi="Times New Roman" w:eastAsia="宋体" w:cs="Times New Roman"/>
                <w:b/>
                <w:color w:val="000000" w:themeColor="text1"/>
                <w:szCs w:val="21"/>
              </w:rPr>
            </w:pPr>
          </w:p>
        </w:tc>
        <w:tc>
          <w:tcPr>
            <w:tcW w:w="5811" w:type="dxa"/>
            <w:vMerge w:val="continue"/>
            <w:tcBorders>
              <w:tl2br w:val="nil"/>
              <w:tr2bl w:val="nil"/>
            </w:tcBorders>
            <w:vAlign w:val="center"/>
          </w:tcPr>
          <w:p>
            <w:pPr>
              <w:widowControl/>
              <w:jc w:val="left"/>
              <w:rPr>
                <w:rFonts w:ascii="Times New Roman" w:hAnsi="Times New Roman" w:eastAsia="宋体" w:cs="Times New Roman"/>
                <w:b/>
                <w:color w:val="000000" w:themeColor="text1"/>
                <w:szCs w:val="21"/>
              </w:rPr>
            </w:pPr>
          </w:p>
        </w:tc>
        <w:tc>
          <w:tcPr>
            <w:tcW w:w="1024" w:type="dxa"/>
            <w:tcBorders>
              <w:tl2br w:val="nil"/>
              <w:tr2bl w:val="nil"/>
            </w:tcBorders>
            <w:vAlign w:val="center"/>
          </w:tcPr>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排放量</w:t>
            </w:r>
          </w:p>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(t/a)</w:t>
            </w:r>
          </w:p>
        </w:tc>
        <w:tc>
          <w:tcPr>
            <w:tcW w:w="1208" w:type="dxa"/>
            <w:tcBorders>
              <w:tl2br w:val="nil"/>
              <w:tr2bl w:val="nil"/>
            </w:tcBorders>
            <w:vAlign w:val="center"/>
          </w:tcPr>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排放浓度</w:t>
            </w:r>
          </w:p>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（mg/m</w:t>
            </w:r>
            <w:r>
              <w:rPr>
                <w:rFonts w:ascii="Times New Roman" w:hAnsi="Times New Roman" w:eastAsia="宋体" w:cs="Times New Roman"/>
                <w:b/>
                <w:color w:val="000000" w:themeColor="text1"/>
                <w:szCs w:val="21"/>
                <w:vertAlign w:val="superscript"/>
              </w:rPr>
              <w:t>3</w:t>
            </w:r>
            <w:r>
              <w:rPr>
                <w:rFonts w:ascii="Times New Roman" w:hAnsi="Times New Roman" w:eastAsia="宋体" w:cs="Times New Roman"/>
                <w:b/>
                <w:color w:val="000000" w:themeColor="text1"/>
                <w:szCs w:val="21"/>
              </w:rPr>
              <w:t>）</w:t>
            </w:r>
          </w:p>
        </w:tc>
        <w:tc>
          <w:tcPr>
            <w:tcW w:w="2741" w:type="dxa"/>
            <w:vMerge w:val="continue"/>
            <w:tcBorders>
              <w:tl2br w:val="nil"/>
              <w:tr2bl w:val="nil"/>
            </w:tcBorders>
            <w:vAlign w:val="center"/>
          </w:tcPr>
          <w:p>
            <w:pPr>
              <w:widowControl/>
              <w:jc w:val="left"/>
              <w:rPr>
                <w:rFonts w:ascii="Times New Roman" w:hAnsi="Times New Roman" w:eastAsia="宋体" w:cs="Times New Roman"/>
                <w:b/>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561" w:hRule="atLeast"/>
        </w:trPr>
        <w:tc>
          <w:tcPr>
            <w:tcW w:w="602"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大</w:t>
            </w:r>
          </w:p>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气</w:t>
            </w:r>
          </w:p>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污</w:t>
            </w:r>
          </w:p>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染</w:t>
            </w:r>
          </w:p>
          <w:p>
            <w:pPr>
              <w:adjustRightInd w:val="0"/>
              <w:snapToGrid w:val="0"/>
              <w:jc w:val="center"/>
              <w:rPr>
                <w:rFonts w:ascii="Times New Roman" w:hAnsi="Times New Roman" w:eastAsia="宋体" w:cs="Times New Roman"/>
                <w:b/>
                <w:color w:val="000000" w:themeColor="text1"/>
                <w:szCs w:val="21"/>
              </w:rPr>
            </w:pPr>
            <w:r>
              <w:rPr>
                <w:rFonts w:ascii="Times New Roman" w:hAnsi="Times New Roman" w:eastAsia="宋体" w:cs="Times New Roman"/>
                <w:color w:val="000000" w:themeColor="text1"/>
                <w:szCs w:val="21"/>
              </w:rPr>
              <w:t>物</w:t>
            </w:r>
          </w:p>
        </w:tc>
        <w:tc>
          <w:tcPr>
            <w:tcW w:w="1500" w:type="dxa"/>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cs="Times New Roman"/>
                <w:szCs w:val="21"/>
              </w:rPr>
              <w:t>原料库</w:t>
            </w:r>
          </w:p>
        </w:tc>
        <w:tc>
          <w:tcPr>
            <w:tcW w:w="1102"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5811" w:type="dxa"/>
            <w:tcBorders>
              <w:tl2br w:val="nil"/>
              <w:tr2bl w:val="nil"/>
            </w:tcBorders>
            <w:vAlign w:val="center"/>
          </w:tcPr>
          <w:p>
            <w:pPr>
              <w:adjustRightInd w:val="0"/>
              <w:snapToGrid w:val="0"/>
              <w:jc w:val="center"/>
              <w:rPr>
                <w:rFonts w:ascii="Times New Roman" w:hAnsi="Times New Roman" w:cs="Times New Roman"/>
                <w:color w:val="000000" w:themeColor="text1"/>
                <w:szCs w:val="21"/>
              </w:rPr>
            </w:pPr>
            <w:r>
              <w:t>全封闭</w:t>
            </w:r>
            <w:r>
              <w:rPr>
                <w:rFonts w:hint="eastAsia"/>
              </w:rPr>
              <w:t>原料库</w:t>
            </w:r>
            <w:r>
              <w:t>，地面硬</w:t>
            </w:r>
            <w:r>
              <w:rPr>
                <w:rFonts w:hint="eastAsia"/>
              </w:rPr>
              <w:t>化，</w:t>
            </w:r>
            <w:r>
              <w:rPr>
                <w:rFonts w:hint="eastAsia"/>
                <w:lang w:eastAsia="zh-CN"/>
              </w:rPr>
              <w:t>进出口设置全自动推门，</w:t>
            </w:r>
            <w:r>
              <w:rPr>
                <w:rFonts w:hint="eastAsia"/>
              </w:rPr>
              <w:t>顶部设置1套雾炮机装置，喷雾范围50m，可以满足全厂抑尘要求</w:t>
            </w:r>
          </w:p>
        </w:tc>
        <w:tc>
          <w:tcPr>
            <w:tcW w:w="1024" w:type="dxa"/>
            <w:tcBorders>
              <w:tl2br w:val="nil"/>
              <w:tr2bl w:val="nil"/>
            </w:tcBorders>
            <w:vAlign w:val="center"/>
          </w:tcPr>
          <w:p>
            <w:pPr>
              <w:adjustRightInd w:val="0"/>
              <w:snapToGrid w:val="0"/>
              <w:jc w:val="center"/>
              <w:rPr>
                <w:rFonts w:hint="eastAsia" w:ascii="Times New Roman" w:hAnsi="Times New Roman" w:eastAsia="宋体" w:cs="Times New Roman"/>
                <w:color w:val="000000" w:themeColor="text1"/>
                <w:szCs w:val="21"/>
                <w:lang w:eastAsia="zh-CN"/>
              </w:rPr>
            </w:pPr>
            <w:r>
              <w:rPr>
                <w:rFonts w:hint="eastAsia" w:ascii="Times New Roman" w:hAnsi="Times New Roman" w:eastAsia="宋体" w:cs="Times New Roman"/>
                <w:color w:val="000000" w:themeColor="text1"/>
                <w:szCs w:val="21"/>
                <w:lang w:val="en-US" w:eastAsia="zh-CN"/>
              </w:rPr>
              <w:t>-</w:t>
            </w:r>
          </w:p>
        </w:tc>
        <w:tc>
          <w:tcPr>
            <w:tcW w:w="1208"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面源</w:t>
            </w:r>
          </w:p>
        </w:tc>
        <w:tc>
          <w:tcPr>
            <w:tcW w:w="2741" w:type="dxa"/>
            <w:vMerge w:val="restart"/>
            <w:tcBorders>
              <w:tl2br w:val="nil"/>
              <w:tr2bl w:val="nil"/>
            </w:tcBorders>
            <w:vAlign w:val="center"/>
          </w:tcPr>
          <w:p>
            <w:pPr>
              <w:adjustRightInd w:val="0"/>
              <w:snapToGrid w:val="0"/>
              <w:jc w:val="center"/>
              <w:rPr>
                <w:rFonts w:ascii="Times New Roman" w:hAnsi="Times New Roman" w:eastAsia="宋体" w:cs="Times New Roman"/>
                <w:b/>
                <w:color w:val="000000" w:themeColor="text1"/>
                <w:szCs w:val="21"/>
              </w:rPr>
            </w:pPr>
            <w:r>
              <w:rPr>
                <w:rFonts w:hint="eastAsia"/>
              </w:rPr>
              <w:t>《大气污染物综合排放标准》（GB16297-1996）表2标准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718" w:hRule="atLeast"/>
        </w:trPr>
        <w:tc>
          <w:tcPr>
            <w:tcW w:w="60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p>
        </w:tc>
        <w:tc>
          <w:tcPr>
            <w:tcW w:w="1500" w:type="dxa"/>
            <w:vMerge w:val="restar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cs="Times New Roman"/>
                <w:szCs w:val="21"/>
                <w:lang w:eastAsia="zh-CN"/>
              </w:rPr>
              <w:t>进料、</w:t>
            </w:r>
            <w:r>
              <w:rPr>
                <w:rFonts w:hint="eastAsia" w:ascii="Times New Roman" w:hAnsi="Times New Roman" w:cs="Times New Roman"/>
                <w:szCs w:val="21"/>
              </w:rPr>
              <w:t>破碎、振筛</w:t>
            </w:r>
          </w:p>
        </w:tc>
        <w:tc>
          <w:tcPr>
            <w:tcW w:w="1102"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cs="Times New Roman"/>
                <w:szCs w:val="21"/>
              </w:rPr>
              <w:t>粉尘</w:t>
            </w:r>
          </w:p>
        </w:tc>
        <w:tc>
          <w:tcPr>
            <w:tcW w:w="5811" w:type="dxa"/>
            <w:vMerge w:val="restart"/>
            <w:tcBorders>
              <w:tl2br w:val="nil"/>
              <w:tr2bl w:val="nil"/>
            </w:tcBorders>
            <w:vAlign w:val="center"/>
          </w:tcPr>
          <w:p>
            <w:pPr>
              <w:ind w:right="113"/>
              <w:jc w:val="center"/>
              <w:rPr>
                <w:rFonts w:ascii="Times New Roman" w:hAnsi="Times New Roman" w:cs="Times New Roman"/>
                <w:szCs w:val="21"/>
              </w:rPr>
            </w:pPr>
            <w:r>
              <w:rPr>
                <w:rFonts w:hint="eastAsia" w:ascii="Times New Roman" w:hAnsi="Times New Roman" w:cs="Times New Roman"/>
                <w:szCs w:val="21"/>
              </w:rPr>
              <w:t>在</w:t>
            </w:r>
            <w:r>
              <w:rPr>
                <w:rFonts w:hint="eastAsia" w:ascii="Times New Roman" w:hAnsi="Times New Roman" w:cs="Times New Roman"/>
                <w:szCs w:val="21"/>
                <w:lang w:eastAsia="zh-CN"/>
              </w:rPr>
              <w:t>进</w:t>
            </w:r>
            <w:r>
              <w:rPr>
                <w:rFonts w:hint="eastAsia" w:ascii="Times New Roman" w:hAnsi="Times New Roman" w:cs="Times New Roman"/>
                <w:szCs w:val="21"/>
              </w:rPr>
              <w:t>料</w:t>
            </w:r>
            <w:r>
              <w:rPr>
                <w:rFonts w:hint="eastAsia" w:ascii="Times New Roman" w:hAnsi="Times New Roman" w:cs="Times New Roman"/>
                <w:szCs w:val="21"/>
                <w:lang w:eastAsia="zh-CN"/>
              </w:rPr>
              <w:t>机进料口、</w:t>
            </w:r>
            <w:r>
              <w:rPr>
                <w:rFonts w:hint="eastAsia" w:ascii="Times New Roman" w:hAnsi="Times New Roman" w:cs="Times New Roman"/>
                <w:szCs w:val="21"/>
              </w:rPr>
              <w:t>颚式破碎机</w:t>
            </w:r>
            <w:r>
              <w:rPr>
                <w:rFonts w:hint="eastAsia" w:ascii="Times New Roman" w:hAnsi="Times New Roman" w:cs="Times New Roman"/>
                <w:szCs w:val="21"/>
                <w:lang w:eastAsia="zh-CN"/>
              </w:rPr>
              <w:t>出料口</w:t>
            </w:r>
            <w:r>
              <w:rPr>
                <w:rFonts w:hint="eastAsia" w:ascii="Times New Roman" w:hAnsi="Times New Roman" w:cs="Times New Roman"/>
                <w:szCs w:val="21"/>
              </w:rPr>
              <w:t>、锤式破碎机</w:t>
            </w:r>
            <w:r>
              <w:rPr>
                <w:rFonts w:hint="eastAsia" w:ascii="Times New Roman" w:hAnsi="Times New Roman" w:cs="Times New Roman"/>
                <w:szCs w:val="21"/>
                <w:lang w:eastAsia="zh-CN"/>
              </w:rPr>
              <w:t>进料口和出料口</w:t>
            </w:r>
            <w:r>
              <w:rPr>
                <w:rFonts w:hint="eastAsia" w:ascii="Times New Roman" w:hAnsi="Times New Roman" w:cs="Times New Roman"/>
                <w:szCs w:val="21"/>
              </w:rPr>
              <w:t>、振筛机</w:t>
            </w:r>
            <w:r>
              <w:rPr>
                <w:rFonts w:hint="eastAsia" w:ascii="Times New Roman" w:hAnsi="Times New Roman" w:cs="Times New Roman"/>
                <w:szCs w:val="21"/>
                <w:lang w:eastAsia="zh-CN"/>
              </w:rPr>
              <w:t>进料口和出料口</w:t>
            </w:r>
            <w:r>
              <w:rPr>
                <w:rFonts w:hint="eastAsia" w:ascii="Times New Roman" w:hAnsi="Times New Roman" w:cs="Times New Roman"/>
                <w:szCs w:val="21"/>
              </w:rPr>
              <w:t>上方设置5个伞形集气罩收集废气，粉尘经收集引至1套袋式除尘器处理后通过1根15m高排气筒外排</w:t>
            </w:r>
          </w:p>
        </w:tc>
        <w:tc>
          <w:tcPr>
            <w:tcW w:w="1024"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333333"/>
                <w:szCs w:val="21"/>
                <w:lang w:val="en-US" w:eastAsia="zh-CN"/>
              </w:rPr>
              <w:t>1.44</w:t>
            </w:r>
          </w:p>
        </w:tc>
        <w:tc>
          <w:tcPr>
            <w:tcW w:w="1208"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20</w:t>
            </w:r>
          </w:p>
        </w:tc>
        <w:tc>
          <w:tcPr>
            <w:tcW w:w="2741" w:type="dxa"/>
            <w:vMerge w:val="continue"/>
            <w:tcBorders>
              <w:tl2br w:val="nil"/>
              <w:tr2bl w:val="nil"/>
            </w:tcBorders>
            <w:vAlign w:val="center"/>
          </w:tcPr>
          <w:p>
            <w:pPr>
              <w:adjustRightInd w:val="0"/>
              <w:snapToGrid w:val="0"/>
              <w:jc w:val="center"/>
              <w:rPr>
                <w:rFonts w:ascii="Times New Roman" w:hAnsi="Times New Roman"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767" w:hRule="atLeast"/>
        </w:trPr>
        <w:tc>
          <w:tcPr>
            <w:tcW w:w="60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p>
        </w:tc>
        <w:tc>
          <w:tcPr>
            <w:tcW w:w="1500" w:type="dxa"/>
            <w:vMerge w:val="continue"/>
            <w:tcBorders>
              <w:tl2br w:val="nil"/>
              <w:tr2bl w:val="nil"/>
            </w:tcBorders>
            <w:vAlign w:val="center"/>
          </w:tcPr>
          <w:p>
            <w:pPr>
              <w:jc w:val="center"/>
              <w:rPr>
                <w:rFonts w:ascii="Times New Roman" w:hAnsi="Times New Roman" w:cs="Times New Roman"/>
                <w:szCs w:val="21"/>
              </w:rPr>
            </w:pPr>
          </w:p>
        </w:tc>
        <w:tc>
          <w:tcPr>
            <w:tcW w:w="1102" w:type="dxa"/>
            <w:vMerge w:val="continue"/>
            <w:tcBorders>
              <w:tl2br w:val="nil"/>
              <w:tr2bl w:val="nil"/>
            </w:tcBorders>
            <w:vAlign w:val="center"/>
          </w:tcPr>
          <w:p>
            <w:pPr>
              <w:adjustRightInd w:val="0"/>
              <w:snapToGrid w:val="0"/>
              <w:jc w:val="center"/>
              <w:rPr>
                <w:rFonts w:ascii="Times New Roman" w:hAnsi="Times New Roman" w:cs="Times New Roman"/>
                <w:szCs w:val="21"/>
              </w:rPr>
            </w:pPr>
          </w:p>
        </w:tc>
        <w:tc>
          <w:tcPr>
            <w:tcW w:w="5811" w:type="dxa"/>
            <w:vMerge w:val="continue"/>
            <w:tcBorders>
              <w:tl2br w:val="nil"/>
              <w:tr2bl w:val="nil"/>
            </w:tcBorders>
            <w:vAlign w:val="center"/>
          </w:tcPr>
          <w:p>
            <w:pPr>
              <w:adjustRightInd w:val="0"/>
              <w:snapToGrid w:val="0"/>
              <w:jc w:val="center"/>
            </w:pPr>
          </w:p>
        </w:tc>
        <w:tc>
          <w:tcPr>
            <w:tcW w:w="1024"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333333"/>
                <w:szCs w:val="21"/>
                <w:lang w:val="en-US" w:eastAsia="zh-CN"/>
              </w:rPr>
              <w:t>0.24</w:t>
            </w:r>
          </w:p>
        </w:tc>
        <w:tc>
          <w:tcPr>
            <w:tcW w:w="1208"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面源</w:t>
            </w:r>
          </w:p>
        </w:tc>
        <w:tc>
          <w:tcPr>
            <w:tcW w:w="2741" w:type="dxa"/>
            <w:vMerge w:val="continue"/>
            <w:tcBorders>
              <w:tl2br w:val="nil"/>
              <w:tr2bl w:val="nil"/>
            </w:tcBorders>
            <w:vAlign w:val="center"/>
          </w:tcPr>
          <w:p>
            <w:pPr>
              <w:adjustRightInd w:val="0"/>
              <w:snapToGrid w:val="0"/>
              <w:jc w:val="center"/>
              <w:rPr>
                <w:rFonts w:ascii="Times New Roman" w:hAnsi="Times New Roman"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561" w:hRule="atLeast"/>
        </w:trPr>
        <w:tc>
          <w:tcPr>
            <w:tcW w:w="60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p>
        </w:tc>
        <w:tc>
          <w:tcPr>
            <w:tcW w:w="150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成品库</w:t>
            </w:r>
          </w:p>
        </w:tc>
        <w:tc>
          <w:tcPr>
            <w:tcW w:w="1102"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5811" w:type="dxa"/>
            <w:tcBorders>
              <w:tl2br w:val="nil"/>
              <w:tr2bl w:val="nil"/>
            </w:tcBorders>
            <w:vAlign w:val="center"/>
          </w:tcPr>
          <w:p>
            <w:pPr>
              <w:adjustRightInd w:val="0"/>
              <w:snapToGrid w:val="0"/>
              <w:jc w:val="center"/>
              <w:rPr>
                <w:rFonts w:ascii="Times New Roman" w:hAnsi="Times New Roman" w:cs="Times New Roman"/>
                <w:szCs w:val="21"/>
              </w:rPr>
            </w:pPr>
            <w:r>
              <w:t>全封闭</w:t>
            </w:r>
            <w:r>
              <w:rPr>
                <w:rFonts w:hint="eastAsia"/>
              </w:rPr>
              <w:t>成品库</w:t>
            </w:r>
            <w:r>
              <w:t>，地面硬</w:t>
            </w:r>
            <w:r>
              <w:rPr>
                <w:rFonts w:hint="eastAsia"/>
              </w:rPr>
              <w:t>化，</w:t>
            </w:r>
            <w:r>
              <w:rPr>
                <w:rFonts w:hint="eastAsia"/>
                <w:lang w:eastAsia="zh-CN"/>
              </w:rPr>
              <w:t>进出口设置全自动推门，</w:t>
            </w:r>
            <w:r>
              <w:rPr>
                <w:rFonts w:hint="eastAsia"/>
              </w:rPr>
              <w:t>顶部设置1套雾炮机装置，喷雾范围50m，可以满足全厂抑尘要求</w:t>
            </w:r>
          </w:p>
        </w:tc>
        <w:tc>
          <w:tcPr>
            <w:tcW w:w="1024" w:type="dxa"/>
            <w:tcBorders>
              <w:tl2br w:val="nil"/>
              <w:tr2bl w:val="nil"/>
            </w:tcBorders>
            <w:vAlign w:val="center"/>
          </w:tcPr>
          <w:p>
            <w:pPr>
              <w:spacing w:line="400" w:lineRule="exact"/>
              <w:jc w:val="center"/>
              <w:rPr>
                <w:rFonts w:hint="eastAsia" w:ascii="Times New Roman" w:hAnsi="Times New Roman" w:eastAsia="宋体" w:cs="Times New Roman"/>
                <w:color w:val="000000" w:themeColor="text1"/>
                <w:szCs w:val="21"/>
                <w:lang w:eastAsia="zh-CN"/>
              </w:rPr>
            </w:pPr>
            <w:r>
              <w:rPr>
                <w:rFonts w:hint="eastAsia" w:ascii="Times New Roman" w:hAnsi="Times New Roman" w:eastAsia="宋体" w:cs="Times New Roman"/>
                <w:color w:val="000000" w:themeColor="text1"/>
                <w:szCs w:val="21"/>
                <w:lang w:val="en-US" w:eastAsia="zh-CN"/>
              </w:rPr>
              <w:t>-</w:t>
            </w:r>
          </w:p>
        </w:tc>
        <w:tc>
          <w:tcPr>
            <w:tcW w:w="1208"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面源</w:t>
            </w:r>
          </w:p>
        </w:tc>
        <w:tc>
          <w:tcPr>
            <w:tcW w:w="2741" w:type="dxa"/>
            <w:vMerge w:val="continue"/>
            <w:tcBorders>
              <w:tl2br w:val="nil"/>
              <w:tr2bl w:val="nil"/>
            </w:tcBorders>
            <w:vAlign w:val="center"/>
          </w:tcPr>
          <w:p>
            <w:pPr>
              <w:adjustRightInd w:val="0"/>
              <w:snapToGrid w:val="0"/>
              <w:jc w:val="center"/>
              <w:rPr>
                <w:rFonts w:ascii="Times New Roman" w:hAnsi="Times New Roman"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281" w:hRule="atLeast"/>
        </w:trPr>
        <w:tc>
          <w:tcPr>
            <w:tcW w:w="602" w:type="dxa"/>
            <w:vMerge w:val="continue"/>
            <w:tcBorders>
              <w:tl2br w:val="nil"/>
              <w:tr2bl w:val="nil"/>
            </w:tcBorders>
            <w:vAlign w:val="center"/>
          </w:tcPr>
          <w:p>
            <w:pPr>
              <w:widowControl/>
              <w:jc w:val="left"/>
              <w:rPr>
                <w:rFonts w:ascii="Times New Roman" w:hAnsi="Times New Roman" w:eastAsia="宋体" w:cs="Times New Roman"/>
                <w:b/>
                <w:color w:val="000000" w:themeColor="text1"/>
                <w:szCs w:val="21"/>
              </w:rPr>
            </w:pPr>
          </w:p>
        </w:tc>
        <w:tc>
          <w:tcPr>
            <w:tcW w:w="1500"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szCs w:val="21"/>
              </w:rPr>
              <w:t>运输扬尘</w:t>
            </w:r>
          </w:p>
        </w:tc>
        <w:tc>
          <w:tcPr>
            <w:tcW w:w="1102"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5811"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运输车辆采用篷布遮盖，厂区地面全部做硬化处理，并定期对厂区地面及出入道路清洁、洒水抑尘。原料库、成品库房密闭处理，只留车辆进出口，地面做混凝土硬化，原料堆存区以及配料上料区都安装洒水装置，保持堆场表层润湿</w:t>
            </w:r>
          </w:p>
        </w:tc>
        <w:tc>
          <w:tcPr>
            <w:tcW w:w="1024" w:type="dxa"/>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333333"/>
                <w:szCs w:val="21"/>
              </w:rPr>
              <w:t>0.07</w:t>
            </w:r>
          </w:p>
        </w:tc>
        <w:tc>
          <w:tcPr>
            <w:tcW w:w="1208"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面源</w:t>
            </w:r>
          </w:p>
        </w:tc>
        <w:tc>
          <w:tcPr>
            <w:tcW w:w="2741" w:type="dxa"/>
            <w:vMerge w:val="continue"/>
            <w:tcBorders>
              <w:tl2br w:val="nil"/>
              <w:tr2bl w:val="nil"/>
            </w:tcBorders>
            <w:vAlign w:val="center"/>
          </w:tcPr>
          <w:p>
            <w:pPr>
              <w:widowControl/>
              <w:jc w:val="left"/>
              <w:rPr>
                <w:rFonts w:ascii="Times New Roman" w:hAnsi="Times New Roman" w:eastAsia="宋体" w:cs="Times New Roman"/>
                <w:b/>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609" w:hRule="atLeast"/>
        </w:trPr>
        <w:tc>
          <w:tcPr>
            <w:tcW w:w="602" w:type="dxa"/>
            <w:vMerge w:val="restart"/>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水污</w:t>
            </w:r>
          </w:p>
          <w:p>
            <w:pPr>
              <w:adjustRightInd w:val="0"/>
              <w:snapToGrid w:val="0"/>
              <w:jc w:val="center"/>
              <w:rPr>
                <w:rFonts w:ascii="Times New Roman" w:hAnsi="Times New Roman" w:cs="Times New Roman"/>
                <w:szCs w:val="21"/>
              </w:rPr>
            </w:pPr>
            <w:r>
              <w:rPr>
                <w:rFonts w:ascii="Times New Roman" w:hAnsi="Times New Roman" w:cs="Times New Roman"/>
                <w:szCs w:val="21"/>
              </w:rPr>
              <w:t>染物</w:t>
            </w:r>
          </w:p>
        </w:tc>
        <w:tc>
          <w:tcPr>
            <w:tcW w:w="150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生活污水</w:t>
            </w:r>
          </w:p>
        </w:tc>
        <w:tc>
          <w:tcPr>
            <w:tcW w:w="110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CODcr、SS、</w:t>
            </w:r>
          </w:p>
          <w:p>
            <w:pPr>
              <w:jc w:val="center"/>
              <w:rPr>
                <w:rFonts w:ascii="Times New Roman" w:hAnsi="Times New Roman" w:cs="Times New Roman"/>
                <w:szCs w:val="21"/>
              </w:rPr>
            </w:pPr>
            <w:r>
              <w:rPr>
                <w:rFonts w:ascii="Times New Roman" w:hAnsi="Times New Roman" w:cs="Times New Roman"/>
                <w:szCs w:val="21"/>
              </w:rPr>
              <w:t>BOD</w:t>
            </w:r>
            <w:r>
              <w:rPr>
                <w:rFonts w:ascii="Times New Roman" w:hAnsi="Times New Roman" w:cs="Times New Roman"/>
                <w:szCs w:val="21"/>
                <w:vertAlign w:val="subscript"/>
              </w:rPr>
              <w:t>5</w:t>
            </w:r>
            <w:r>
              <w:rPr>
                <w:rFonts w:ascii="Times New Roman" w:hAnsi="Times New Roman" w:cs="Times New Roman"/>
                <w:szCs w:val="21"/>
              </w:rPr>
              <w:t>、NH</w:t>
            </w:r>
            <w:r>
              <w:rPr>
                <w:rFonts w:ascii="Times New Roman" w:hAnsi="Times New Roman" w:cs="Times New Roman"/>
                <w:szCs w:val="21"/>
                <w:vertAlign w:val="subscript"/>
              </w:rPr>
              <w:t>3</w:t>
            </w:r>
            <w:r>
              <w:rPr>
                <w:rFonts w:ascii="Times New Roman" w:hAnsi="Times New Roman" w:cs="Times New Roman"/>
                <w:szCs w:val="21"/>
              </w:rPr>
              <w:t>-N</w:t>
            </w:r>
          </w:p>
        </w:tc>
        <w:tc>
          <w:tcPr>
            <w:tcW w:w="5811" w:type="dxa"/>
            <w:tcBorders>
              <w:tl2br w:val="nil"/>
              <w:tr2bl w:val="nil"/>
            </w:tcBorders>
            <w:tcMar>
              <w:top w:w="57" w:type="dxa"/>
              <w:left w:w="28" w:type="dxa"/>
              <w:bottom w:w="57" w:type="dxa"/>
              <w:right w:w="28" w:type="dxa"/>
            </w:tcMar>
            <w:vAlign w:val="center"/>
          </w:tcPr>
          <w:p>
            <w:pPr>
              <w:jc w:val="center"/>
              <w:rPr>
                <w:rFonts w:ascii="Times New Roman" w:hAnsi="Times New Roman" w:eastAsia="宋体" w:cs="Times New Roman"/>
                <w:color w:val="000000" w:themeColor="text1"/>
                <w:spacing w:val="-2"/>
                <w:szCs w:val="21"/>
              </w:rPr>
            </w:pPr>
            <w:r>
              <w:rPr>
                <w:rFonts w:hint="eastAsia"/>
              </w:rPr>
              <w:t>旱厕，</w:t>
            </w:r>
            <w:r>
              <w:t>洒水抑尘，不外排</w:t>
            </w:r>
          </w:p>
        </w:tc>
        <w:tc>
          <w:tcPr>
            <w:tcW w:w="2232" w:type="dxa"/>
            <w:gridSpan w:val="2"/>
            <w:tcBorders>
              <w:tl2br w:val="nil"/>
              <w:tr2bl w:val="nil"/>
            </w:tcBorders>
            <w:tcMar>
              <w:top w:w="57" w:type="dxa"/>
              <w:left w:w="0" w:type="dxa"/>
              <w:bottom w:w="57" w:type="dxa"/>
              <w:right w:w="0" w:type="dxa"/>
            </w:tcMar>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w:t>
            </w:r>
          </w:p>
        </w:tc>
        <w:tc>
          <w:tcPr>
            <w:tcW w:w="2741"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609" w:hRule="atLeast"/>
        </w:trPr>
        <w:tc>
          <w:tcPr>
            <w:tcW w:w="602" w:type="dxa"/>
            <w:vMerge w:val="continue"/>
            <w:tcBorders>
              <w:tl2br w:val="nil"/>
              <w:tr2bl w:val="nil"/>
            </w:tcBorders>
            <w:vAlign w:val="center"/>
          </w:tcPr>
          <w:p>
            <w:pPr>
              <w:adjustRightInd w:val="0"/>
              <w:snapToGrid w:val="0"/>
              <w:jc w:val="center"/>
              <w:rPr>
                <w:rFonts w:ascii="Times New Roman" w:hAnsi="Times New Roman" w:cs="Times New Roman"/>
                <w:szCs w:val="21"/>
              </w:rPr>
            </w:pPr>
          </w:p>
        </w:tc>
        <w:tc>
          <w:tcPr>
            <w:tcW w:w="150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洗车废水</w:t>
            </w:r>
          </w:p>
        </w:tc>
        <w:tc>
          <w:tcPr>
            <w:tcW w:w="1102"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SS</w:t>
            </w:r>
          </w:p>
        </w:tc>
        <w:tc>
          <w:tcPr>
            <w:tcW w:w="5811" w:type="dxa"/>
            <w:tcBorders>
              <w:tl2br w:val="nil"/>
              <w:tr2bl w:val="nil"/>
            </w:tcBorders>
            <w:tcMar>
              <w:top w:w="57" w:type="dxa"/>
              <w:left w:w="28" w:type="dxa"/>
              <w:bottom w:w="57" w:type="dxa"/>
              <w:right w:w="28" w:type="dxa"/>
            </w:tcMar>
            <w:vAlign w:val="center"/>
          </w:tcPr>
          <w:p>
            <w:pPr>
              <w:jc w:val="center"/>
              <w:rPr>
                <w:rFonts w:ascii="Times New Roman" w:hAnsi="Times New Roman" w:eastAsia="宋体" w:cs="Times New Roman"/>
                <w:color w:val="000000" w:themeColor="text1"/>
                <w:szCs w:val="21"/>
              </w:rPr>
            </w:pPr>
            <w:r>
              <w:rPr>
                <w:rFonts w:hint="eastAsia"/>
                <w:szCs w:val="21"/>
              </w:rPr>
              <w:t>洗车废水进入沉淀池沉淀处理后回用于厂区道路洒水</w:t>
            </w:r>
            <w:r>
              <w:t>抑尘，不外排</w:t>
            </w:r>
          </w:p>
        </w:tc>
        <w:tc>
          <w:tcPr>
            <w:tcW w:w="2232" w:type="dxa"/>
            <w:gridSpan w:val="2"/>
            <w:tcBorders>
              <w:tl2br w:val="nil"/>
              <w:tr2bl w:val="nil"/>
            </w:tcBorders>
            <w:tcMar>
              <w:top w:w="57" w:type="dxa"/>
              <w:left w:w="0" w:type="dxa"/>
              <w:bottom w:w="57" w:type="dxa"/>
              <w:right w:w="0" w:type="dxa"/>
            </w:tcMar>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w:t>
            </w:r>
          </w:p>
        </w:tc>
        <w:tc>
          <w:tcPr>
            <w:tcW w:w="2741"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循环使用，不外排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609" w:hRule="atLeast"/>
        </w:trPr>
        <w:tc>
          <w:tcPr>
            <w:tcW w:w="60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p>
        </w:tc>
        <w:tc>
          <w:tcPr>
            <w:tcW w:w="150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初期雨水</w:t>
            </w:r>
          </w:p>
        </w:tc>
        <w:tc>
          <w:tcPr>
            <w:tcW w:w="1102"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cs="Times New Roman"/>
                <w:szCs w:val="21"/>
              </w:rPr>
              <w:t>SS</w:t>
            </w:r>
          </w:p>
        </w:tc>
        <w:tc>
          <w:tcPr>
            <w:tcW w:w="5811" w:type="dxa"/>
            <w:tcBorders>
              <w:tl2br w:val="nil"/>
              <w:tr2bl w:val="nil"/>
            </w:tcBorders>
            <w:tcMar>
              <w:top w:w="57" w:type="dxa"/>
              <w:left w:w="28" w:type="dxa"/>
              <w:bottom w:w="57" w:type="dxa"/>
              <w:right w:w="28" w:type="dxa"/>
            </w:tcMar>
            <w:vAlign w:val="center"/>
          </w:tcPr>
          <w:p>
            <w:pPr>
              <w:jc w:val="center"/>
              <w:rPr>
                <w:rFonts w:ascii="Times New Roman" w:hAnsi="Times New Roman" w:eastAsia="宋体" w:cs="Times New Roman"/>
                <w:color w:val="000000" w:themeColor="text1"/>
                <w:szCs w:val="21"/>
              </w:rPr>
            </w:pPr>
            <w:r>
              <w:rPr>
                <w:rFonts w:hint="eastAsia"/>
                <w:szCs w:val="21"/>
              </w:rPr>
              <w:t>设</w:t>
            </w:r>
            <w:r>
              <w:rPr>
                <w:rFonts w:hint="eastAsia"/>
                <w:szCs w:val="21"/>
                <w:lang w:val="en-US" w:eastAsia="zh-CN"/>
              </w:rPr>
              <w:t>2</w:t>
            </w:r>
            <w:r>
              <w:rPr>
                <w:rFonts w:hint="eastAsia"/>
                <w:szCs w:val="21"/>
              </w:rPr>
              <w:t>00m</w:t>
            </w:r>
            <w:r>
              <w:rPr>
                <w:rFonts w:hint="eastAsia"/>
                <w:szCs w:val="21"/>
                <w:vertAlign w:val="superscript"/>
              </w:rPr>
              <w:t>3</w:t>
            </w:r>
            <w:r>
              <w:rPr>
                <w:rFonts w:hint="eastAsia"/>
                <w:szCs w:val="21"/>
              </w:rPr>
              <w:t>雨水收集池一座，初期雨水经收集沉淀后回用于生产，不外排</w:t>
            </w:r>
          </w:p>
        </w:tc>
        <w:tc>
          <w:tcPr>
            <w:tcW w:w="2232" w:type="dxa"/>
            <w:gridSpan w:val="2"/>
            <w:tcBorders>
              <w:tl2br w:val="nil"/>
              <w:tr2bl w:val="nil"/>
            </w:tcBorders>
            <w:tcMar>
              <w:top w:w="57" w:type="dxa"/>
              <w:left w:w="0" w:type="dxa"/>
              <w:bottom w:w="57" w:type="dxa"/>
              <w:right w:w="0" w:type="dxa"/>
            </w:tcMar>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w:t>
            </w:r>
          </w:p>
        </w:tc>
        <w:tc>
          <w:tcPr>
            <w:tcW w:w="2741"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443" w:hRule="atLeast"/>
        </w:trPr>
        <w:tc>
          <w:tcPr>
            <w:tcW w:w="602"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固体</w:t>
            </w:r>
          </w:p>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废物</w:t>
            </w:r>
          </w:p>
        </w:tc>
        <w:tc>
          <w:tcPr>
            <w:tcW w:w="1500" w:type="dxa"/>
            <w:tcBorders>
              <w:tl2br w:val="nil"/>
              <w:tr2bl w:val="nil"/>
            </w:tcBorders>
            <w:vAlign w:val="center"/>
          </w:tcPr>
          <w:p>
            <w:pPr>
              <w:jc w:val="center"/>
              <w:rPr>
                <w:rFonts w:ascii="Times New Roman" w:hAnsi="Times New Roman" w:eastAsia="宋体" w:cs="Times New Roman"/>
                <w:color w:val="000000" w:themeColor="text1"/>
                <w:szCs w:val="21"/>
              </w:rPr>
            </w:pPr>
            <w:r>
              <w:rPr>
                <w:szCs w:val="21"/>
              </w:rPr>
              <w:t>布袋除尘器</w:t>
            </w:r>
          </w:p>
        </w:tc>
        <w:tc>
          <w:tcPr>
            <w:tcW w:w="1102" w:type="dxa"/>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szCs w:val="21"/>
              </w:rPr>
              <w:t>除尘灰</w:t>
            </w:r>
          </w:p>
        </w:tc>
        <w:tc>
          <w:tcPr>
            <w:tcW w:w="5811" w:type="dxa"/>
            <w:tcBorders>
              <w:tl2br w:val="nil"/>
              <w:tr2bl w:val="nil"/>
            </w:tcBorders>
            <w:vAlign w:val="center"/>
          </w:tcPr>
          <w:p>
            <w:pPr>
              <w:jc w:val="center"/>
              <w:rPr>
                <w:rFonts w:ascii="Times New Roman" w:hAnsi="Times New Roman" w:eastAsia="宋体" w:cs="Times New Roman"/>
                <w:color w:val="000000" w:themeColor="text1"/>
                <w:szCs w:val="21"/>
              </w:rPr>
            </w:pPr>
            <w:r>
              <w:rPr>
                <w:rFonts w:ascii="Times New Roman" w:hAnsi="Times New Roman" w:cs="Times New Roman"/>
                <w:kern w:val="0"/>
                <w:szCs w:val="21"/>
              </w:rPr>
              <w:t>除尘器收尘</w:t>
            </w:r>
            <w:r>
              <w:rPr>
                <w:rFonts w:hint="eastAsia" w:ascii="Times New Roman" w:hAnsi="Times New Roman" w:cs="Times New Roman"/>
                <w:kern w:val="0"/>
                <w:szCs w:val="21"/>
              </w:rPr>
              <w:t>收集后与小于2cm的石料一起外售</w:t>
            </w:r>
          </w:p>
        </w:tc>
        <w:tc>
          <w:tcPr>
            <w:tcW w:w="2232" w:type="dxa"/>
            <w:gridSpan w:val="2"/>
            <w:tcBorders>
              <w:tl2br w:val="nil"/>
              <w:tr2bl w:val="nil"/>
            </w:tcBorders>
            <w:tcMar>
              <w:top w:w="57" w:type="dxa"/>
              <w:left w:w="57" w:type="dxa"/>
              <w:bottom w:w="57" w:type="dxa"/>
              <w:right w:w="170" w:type="dxa"/>
            </w:tcMar>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w:t>
            </w:r>
          </w:p>
        </w:tc>
        <w:tc>
          <w:tcPr>
            <w:tcW w:w="2741"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《一般固体废物贮存、处置场污染控制标准》（GB18599-2001）及2013修改单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340" w:hRule="atLeast"/>
        </w:trPr>
        <w:tc>
          <w:tcPr>
            <w:tcW w:w="60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p>
        </w:tc>
        <w:tc>
          <w:tcPr>
            <w:tcW w:w="1500" w:type="dxa"/>
            <w:tcBorders>
              <w:tl2br w:val="nil"/>
              <w:tr2bl w:val="nil"/>
            </w:tcBorders>
            <w:vAlign w:val="center"/>
          </w:tcPr>
          <w:p>
            <w:pPr>
              <w:jc w:val="center"/>
              <w:rPr>
                <w:rFonts w:ascii="Times New Roman" w:hAnsi="Times New Roman" w:eastAsia="宋体" w:cs="Times New Roman"/>
                <w:color w:val="000000" w:themeColor="text1"/>
                <w:szCs w:val="21"/>
              </w:rPr>
            </w:pPr>
            <w:r>
              <w:rPr>
                <w:szCs w:val="21"/>
              </w:rPr>
              <w:t>生活系统</w:t>
            </w:r>
          </w:p>
        </w:tc>
        <w:tc>
          <w:tcPr>
            <w:tcW w:w="1102" w:type="dxa"/>
            <w:tcBorders>
              <w:tl2br w:val="nil"/>
              <w:tr2bl w:val="nil"/>
            </w:tcBorders>
            <w:vAlign w:val="center"/>
          </w:tcPr>
          <w:p>
            <w:pPr>
              <w:jc w:val="center"/>
              <w:rPr>
                <w:rFonts w:ascii="Times New Roman" w:hAnsi="Times New Roman" w:eastAsia="宋体" w:cs="Times New Roman"/>
                <w:color w:val="000000" w:themeColor="text1"/>
                <w:szCs w:val="21"/>
              </w:rPr>
            </w:pPr>
            <w:r>
              <w:rPr>
                <w:szCs w:val="21"/>
              </w:rPr>
              <w:t>生活垃圾</w:t>
            </w:r>
          </w:p>
        </w:tc>
        <w:tc>
          <w:tcPr>
            <w:tcW w:w="5811" w:type="dxa"/>
            <w:tcBorders>
              <w:tl2br w:val="nil"/>
              <w:tr2bl w:val="nil"/>
            </w:tcBorders>
            <w:vAlign w:val="center"/>
          </w:tcPr>
          <w:p>
            <w:pPr>
              <w:jc w:val="center"/>
              <w:rPr>
                <w:rFonts w:ascii="Times New Roman" w:hAnsi="Times New Roman" w:eastAsia="宋体" w:cs="Times New Roman"/>
                <w:color w:val="000000" w:themeColor="text1"/>
                <w:szCs w:val="21"/>
              </w:rPr>
            </w:pPr>
            <w:r>
              <w:rPr>
                <w:szCs w:val="21"/>
              </w:rPr>
              <w:t>集中收集，由当地环卫部门统一清运处理</w:t>
            </w:r>
          </w:p>
        </w:tc>
        <w:tc>
          <w:tcPr>
            <w:tcW w:w="2232" w:type="dxa"/>
            <w:gridSpan w:val="2"/>
            <w:tcBorders>
              <w:tl2br w:val="nil"/>
              <w:tr2bl w:val="nil"/>
            </w:tcBorders>
            <w:tcMar>
              <w:top w:w="57" w:type="dxa"/>
              <w:left w:w="57" w:type="dxa"/>
              <w:bottom w:w="57" w:type="dxa"/>
              <w:right w:w="170" w:type="dxa"/>
            </w:tcMar>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w:t>
            </w:r>
          </w:p>
        </w:tc>
        <w:tc>
          <w:tcPr>
            <w:tcW w:w="2741"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340" w:hRule="atLeast"/>
        </w:trPr>
        <w:tc>
          <w:tcPr>
            <w:tcW w:w="602"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p>
        </w:tc>
        <w:tc>
          <w:tcPr>
            <w:tcW w:w="1500" w:type="dxa"/>
            <w:tcBorders>
              <w:tl2br w:val="nil"/>
              <w:tr2bl w:val="nil"/>
            </w:tcBorders>
            <w:vAlign w:val="center"/>
          </w:tcPr>
          <w:p>
            <w:pPr>
              <w:jc w:val="center"/>
              <w:rPr>
                <w:rFonts w:ascii="Times New Roman" w:hAnsi="Times New Roman" w:cs="Times New Roman"/>
                <w:spacing w:val="4"/>
                <w:szCs w:val="21"/>
              </w:rPr>
            </w:pPr>
            <w:r>
              <w:rPr>
                <w:rFonts w:hint="eastAsia"/>
                <w:szCs w:val="21"/>
              </w:rPr>
              <w:t>生产</w:t>
            </w:r>
          </w:p>
        </w:tc>
        <w:tc>
          <w:tcPr>
            <w:tcW w:w="1102" w:type="dxa"/>
            <w:tcBorders>
              <w:tl2br w:val="nil"/>
              <w:tr2bl w:val="nil"/>
            </w:tcBorders>
            <w:vAlign w:val="center"/>
          </w:tcPr>
          <w:p>
            <w:pPr>
              <w:jc w:val="center"/>
              <w:rPr>
                <w:rFonts w:ascii="Times New Roman" w:hAnsi="Times New Roman" w:cs="Times New Roman"/>
                <w:szCs w:val="21"/>
              </w:rPr>
            </w:pPr>
            <w:r>
              <w:rPr>
                <w:rFonts w:hint="eastAsia"/>
                <w:szCs w:val="21"/>
              </w:rPr>
              <w:t>废矿物油</w:t>
            </w:r>
          </w:p>
        </w:tc>
        <w:tc>
          <w:tcPr>
            <w:tcW w:w="5811" w:type="dxa"/>
            <w:tcBorders>
              <w:tl2br w:val="nil"/>
              <w:tr2bl w:val="nil"/>
            </w:tcBorders>
            <w:vAlign w:val="center"/>
          </w:tcPr>
          <w:p>
            <w:pPr>
              <w:jc w:val="center"/>
              <w:rPr>
                <w:rFonts w:ascii="Times New Roman" w:hAnsi="Times New Roman" w:cs="Times New Roman"/>
                <w:szCs w:val="21"/>
              </w:rPr>
            </w:pPr>
            <w:r>
              <w:rPr>
                <w:rFonts w:hint="eastAsia" w:ascii="Times New Roman" w:hAnsi="Times New Roman" w:cs="Times New Roman"/>
                <w:kern w:val="0"/>
                <w:szCs w:val="21"/>
              </w:rPr>
              <w:t>维修产生的废机油暂存于厂区危废暂存间，交由有资质的危废单位处置</w:t>
            </w:r>
          </w:p>
        </w:tc>
        <w:tc>
          <w:tcPr>
            <w:tcW w:w="2232" w:type="dxa"/>
            <w:gridSpan w:val="2"/>
            <w:tcBorders>
              <w:tl2br w:val="nil"/>
              <w:tr2bl w:val="nil"/>
            </w:tcBorders>
            <w:tcMar>
              <w:top w:w="57" w:type="dxa"/>
              <w:left w:w="57" w:type="dxa"/>
              <w:bottom w:w="57" w:type="dxa"/>
              <w:right w:w="170" w:type="dxa"/>
            </w:tcMar>
            <w:vAlign w:val="center"/>
          </w:tcPr>
          <w:p>
            <w:pPr>
              <w:adjustRightInd w:val="0"/>
              <w:snapToGrid w:val="0"/>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w:t>
            </w:r>
          </w:p>
        </w:tc>
        <w:tc>
          <w:tcPr>
            <w:tcW w:w="2741"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cs="Times New Roman"/>
              </w:rPr>
              <w:t>《危险废物贮存污染控制标准》（GB18597-2001）及2013修改单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340" w:hRule="atLeast"/>
        </w:trPr>
        <w:tc>
          <w:tcPr>
            <w:tcW w:w="602"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噪</w:t>
            </w:r>
          </w:p>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声</w:t>
            </w:r>
          </w:p>
        </w:tc>
        <w:tc>
          <w:tcPr>
            <w:tcW w:w="1500" w:type="dxa"/>
            <w:tcBorders>
              <w:tl2br w:val="nil"/>
              <w:tr2bl w:val="nil"/>
            </w:tcBorders>
            <w:tcMar>
              <w:top w:w="57" w:type="dxa"/>
              <w:left w:w="28" w:type="dxa"/>
              <w:bottom w:w="57" w:type="dxa"/>
              <w:right w:w="28" w:type="dxa"/>
            </w:tcMar>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设备噪声</w:t>
            </w:r>
          </w:p>
        </w:tc>
        <w:tc>
          <w:tcPr>
            <w:tcW w:w="6913" w:type="dxa"/>
            <w:gridSpan w:val="2"/>
            <w:tcBorders>
              <w:tl2br w:val="nil"/>
              <w:tr2bl w:val="nil"/>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cs="Times New Roman"/>
                <w:kern w:val="0"/>
                <w:szCs w:val="21"/>
              </w:rPr>
              <w:t>选用低噪音设备，采用室内隔声、基础减振，加强绿化</w:t>
            </w:r>
          </w:p>
        </w:tc>
        <w:tc>
          <w:tcPr>
            <w:tcW w:w="2232" w:type="dxa"/>
            <w:gridSpan w:val="2"/>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昼间＜60dB（A）</w:t>
            </w:r>
          </w:p>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夜间＜50dB（A）</w:t>
            </w:r>
          </w:p>
        </w:tc>
        <w:tc>
          <w:tcPr>
            <w:tcW w:w="2741"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《工业企业厂界环境噪声排放标准》（GB12348-2008）2类标准：昼间60dB（A），夜间50dB（A）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526" w:hRule="atLeast"/>
        </w:trPr>
        <w:tc>
          <w:tcPr>
            <w:tcW w:w="602" w:type="dxa"/>
            <w:vMerge w:val="continue"/>
            <w:tcBorders>
              <w:tl2br w:val="nil"/>
              <w:tr2bl w:val="nil"/>
            </w:tcBorders>
            <w:vAlign w:val="center"/>
          </w:tcPr>
          <w:p>
            <w:pPr>
              <w:widowControl/>
              <w:jc w:val="left"/>
              <w:rPr>
                <w:rFonts w:ascii="Times New Roman" w:hAnsi="Times New Roman" w:eastAsia="宋体" w:cs="Times New Roman"/>
                <w:color w:val="000000" w:themeColor="text1"/>
                <w:szCs w:val="21"/>
              </w:rPr>
            </w:pPr>
          </w:p>
        </w:tc>
        <w:tc>
          <w:tcPr>
            <w:tcW w:w="1500" w:type="dxa"/>
            <w:tcBorders>
              <w:tl2br w:val="nil"/>
              <w:tr2bl w:val="nil"/>
            </w:tcBorders>
            <w:tcMar>
              <w:top w:w="57" w:type="dxa"/>
              <w:left w:w="28" w:type="dxa"/>
              <w:bottom w:w="57" w:type="dxa"/>
              <w:right w:w="28" w:type="dxa"/>
            </w:tcMar>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运输车辆</w:t>
            </w:r>
          </w:p>
        </w:tc>
        <w:tc>
          <w:tcPr>
            <w:tcW w:w="6913" w:type="dxa"/>
            <w:gridSpan w:val="2"/>
            <w:tcBorders>
              <w:tl2br w:val="nil"/>
              <w:tr2bl w:val="nil"/>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道路、厂区绿化，禁止鸣笛，减速慢行</w:t>
            </w:r>
          </w:p>
        </w:tc>
        <w:tc>
          <w:tcPr>
            <w:tcW w:w="2232" w:type="dxa"/>
            <w:gridSpan w:val="2"/>
            <w:vMerge w:val="continue"/>
            <w:tcBorders>
              <w:tl2br w:val="nil"/>
              <w:tr2bl w:val="nil"/>
            </w:tcBorders>
            <w:vAlign w:val="center"/>
          </w:tcPr>
          <w:p>
            <w:pPr>
              <w:widowControl/>
              <w:jc w:val="left"/>
              <w:rPr>
                <w:rFonts w:ascii="Times New Roman" w:hAnsi="Times New Roman" w:eastAsia="宋体" w:cs="Times New Roman"/>
                <w:color w:val="000000" w:themeColor="text1"/>
                <w:szCs w:val="21"/>
              </w:rPr>
            </w:pPr>
          </w:p>
        </w:tc>
        <w:tc>
          <w:tcPr>
            <w:tcW w:w="2741" w:type="dxa"/>
            <w:vMerge w:val="continue"/>
            <w:tcBorders>
              <w:tl2br w:val="nil"/>
              <w:tr2bl w:val="nil"/>
            </w:tcBorders>
            <w:vAlign w:val="center"/>
          </w:tcPr>
          <w:p>
            <w:pPr>
              <w:widowControl/>
              <w:jc w:val="left"/>
              <w:rPr>
                <w:rFonts w:ascii="Times New Roman" w:hAnsi="Times New Roman" w:eastAsia="宋体" w:cs="Times New Roman"/>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57" w:type="dxa"/>
            <w:left w:w="108" w:type="dxa"/>
            <w:bottom w:w="57" w:type="dxa"/>
            <w:right w:w="108" w:type="dxa"/>
          </w:tblCellMar>
        </w:tblPrEx>
        <w:trPr>
          <w:trHeight w:val="340" w:hRule="atLeast"/>
        </w:trPr>
        <w:tc>
          <w:tcPr>
            <w:tcW w:w="602"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生态</w:t>
            </w:r>
          </w:p>
        </w:tc>
        <w:tc>
          <w:tcPr>
            <w:tcW w:w="13386" w:type="dxa"/>
            <w:gridSpan w:val="6"/>
            <w:tcBorders>
              <w:tl2br w:val="nil"/>
              <w:tr2bl w:val="nil"/>
            </w:tcBorders>
            <w:tcMar>
              <w:top w:w="57" w:type="dxa"/>
              <w:left w:w="28" w:type="dxa"/>
              <w:bottom w:w="57" w:type="dxa"/>
              <w:right w:w="28" w:type="dxa"/>
            </w:tcMar>
            <w:vAlign w:val="center"/>
          </w:tcPr>
          <w:p>
            <w:pPr>
              <w:adjustRightInd w:val="0"/>
              <w:snapToGrid w:val="0"/>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r>
    </w:tbl>
    <w:p>
      <w:pPr>
        <w:rPr>
          <w:rFonts w:ascii="Times New Roman" w:hAnsi="Times New Roman" w:cs="Times New Roman"/>
          <w:color w:val="000000" w:themeColor="text1"/>
        </w:rPr>
        <w:sectPr>
          <w:pgSz w:w="16838" w:h="11906" w:orient="landscape"/>
          <w:pgMar w:top="1418" w:right="1440" w:bottom="1418" w:left="1440" w:header="851" w:footer="992" w:gutter="0"/>
          <w:cols w:space="425" w:num="1"/>
          <w:docGrid w:type="linesAndChars" w:linePitch="312" w:charSpace="0"/>
        </w:sectPr>
      </w:pPr>
    </w:p>
    <w:p>
      <w:pPr>
        <w:spacing w:line="480" w:lineRule="exact"/>
        <w:rPr>
          <w:rFonts w:ascii="Times New Roman" w:hAnsi="Times New Roman" w:eastAsia="宋体" w:cs="Times New Roman"/>
          <w:color w:val="000000" w:themeColor="text1"/>
          <w:sz w:val="24"/>
          <w:szCs w:val="24"/>
        </w:rPr>
      </w:pPr>
      <w:r>
        <w:rPr>
          <w:rFonts w:hint="eastAsia" w:ascii="Times New Roman" w:hAnsi="Times New Roman" w:eastAsia="黑体" w:cs="Times New Roman"/>
          <w:bCs/>
          <w:color w:val="000000" w:themeColor="text1"/>
          <w:sz w:val="32"/>
          <w:szCs w:val="32"/>
        </w:rPr>
        <w:t>八、</w:t>
      </w:r>
      <w:r>
        <w:rPr>
          <w:rFonts w:ascii="Times New Roman" w:hAnsi="Times New Roman" w:eastAsia="黑体" w:cs="Times New Roman"/>
          <w:bCs/>
          <w:color w:val="000000" w:themeColor="text1"/>
          <w:sz w:val="32"/>
          <w:szCs w:val="32"/>
        </w:rPr>
        <w:t>建设项目拟采取的防治措施及预期治理效果</w:t>
      </w:r>
    </w:p>
    <w:tbl>
      <w:tblPr>
        <w:tblStyle w:val="40"/>
        <w:tblW w:w="91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7"/>
        <w:gridCol w:w="1703"/>
        <w:gridCol w:w="1086"/>
        <w:gridCol w:w="4374"/>
        <w:gridCol w:w="11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837" w:type="dxa"/>
            <w:tcBorders>
              <w:top w:val="single" w:color="auto" w:sz="12" w:space="0"/>
              <w:left w:val="single" w:color="auto" w:sz="12" w:space="0"/>
              <w:bottom w:val="single" w:color="auto" w:sz="4" w:space="0"/>
              <w:right w:val="single" w:color="auto" w:sz="6" w:space="0"/>
            </w:tcBorders>
            <w:vAlign w:val="center"/>
          </w:tcPr>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内容</w:t>
            </w:r>
          </w:p>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类型</w:t>
            </w:r>
          </w:p>
        </w:tc>
        <w:tc>
          <w:tcPr>
            <w:tcW w:w="1703"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排放源</w:t>
            </w:r>
          </w:p>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(编号)</w:t>
            </w:r>
          </w:p>
        </w:tc>
        <w:tc>
          <w:tcPr>
            <w:tcW w:w="1086"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污染物</w:t>
            </w:r>
          </w:p>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名称</w:t>
            </w:r>
          </w:p>
        </w:tc>
        <w:tc>
          <w:tcPr>
            <w:tcW w:w="4374" w:type="dxa"/>
            <w:tcBorders>
              <w:top w:val="single" w:color="auto" w:sz="12" w:space="0"/>
              <w:left w:val="single" w:color="auto" w:sz="6" w:space="0"/>
              <w:bottom w:val="single" w:color="auto" w:sz="4" w:space="0"/>
              <w:right w:val="single" w:color="auto" w:sz="6" w:space="0"/>
            </w:tcBorders>
            <w:vAlign w:val="center"/>
          </w:tcPr>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治理措施</w:t>
            </w:r>
          </w:p>
        </w:tc>
        <w:tc>
          <w:tcPr>
            <w:tcW w:w="1149" w:type="dxa"/>
            <w:tcBorders>
              <w:top w:val="single" w:color="auto" w:sz="12" w:space="0"/>
              <w:left w:val="single" w:color="auto" w:sz="6" w:space="0"/>
              <w:bottom w:val="single" w:color="auto" w:sz="4" w:space="0"/>
              <w:right w:val="single" w:color="auto" w:sz="12" w:space="0"/>
            </w:tcBorders>
            <w:vAlign w:val="center"/>
          </w:tcPr>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预期治</w:t>
            </w:r>
          </w:p>
          <w:p>
            <w:pPr>
              <w:spacing w:line="3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837" w:type="dxa"/>
            <w:vMerge w:val="restart"/>
            <w:tcBorders>
              <w:top w:val="single" w:color="auto" w:sz="4" w:space="0"/>
              <w:left w:val="single" w:color="auto" w:sz="12" w:space="0"/>
              <w:right w:val="single" w:color="auto" w:sz="4"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大气</w:t>
            </w:r>
          </w:p>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污染物</w:t>
            </w:r>
          </w:p>
        </w:tc>
        <w:tc>
          <w:tcPr>
            <w:tcW w:w="1703"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cs="Times New Roman"/>
                <w:szCs w:val="21"/>
              </w:rPr>
              <w:t>原料库</w:t>
            </w:r>
          </w:p>
        </w:tc>
        <w:tc>
          <w:tcPr>
            <w:tcW w:w="108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43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rPr>
            </w:pPr>
            <w:r>
              <w:t>全封闭</w:t>
            </w:r>
            <w:r>
              <w:rPr>
                <w:rFonts w:hint="eastAsia"/>
              </w:rPr>
              <w:t>原料库</w:t>
            </w:r>
            <w:r>
              <w:t>，地面硬</w:t>
            </w:r>
            <w:r>
              <w:rPr>
                <w:rFonts w:hint="eastAsia"/>
              </w:rPr>
              <w:t>化</w:t>
            </w:r>
            <w:r>
              <w:rPr>
                <w:rFonts w:hint="eastAsia"/>
                <w:lang w:eastAsia="zh-CN"/>
              </w:rPr>
              <w:t>，进出口设全自动推门</w:t>
            </w:r>
            <w:r>
              <w:rPr>
                <w:rFonts w:hint="eastAsia"/>
              </w:rPr>
              <w:t>，原料区顶部设置一套雾炮机装置</w:t>
            </w:r>
          </w:p>
        </w:tc>
        <w:tc>
          <w:tcPr>
            <w:tcW w:w="1149" w:type="dxa"/>
            <w:tcBorders>
              <w:top w:val="single" w:color="auto" w:sz="6" w:space="0"/>
              <w:left w:val="single" w:color="auto" w:sz="6" w:space="0"/>
              <w:bottom w:val="single" w:color="auto" w:sz="4"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减轻粉尘</w:t>
            </w:r>
          </w:p>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837" w:type="dxa"/>
            <w:vMerge w:val="continue"/>
            <w:tcBorders>
              <w:top w:val="single" w:color="auto" w:sz="4" w:space="0"/>
              <w:left w:val="single" w:color="auto" w:sz="12" w:space="0"/>
              <w:right w:val="single" w:color="auto" w:sz="4" w:space="0"/>
            </w:tcBorders>
            <w:vAlign w:val="center"/>
          </w:tcPr>
          <w:p>
            <w:pPr>
              <w:spacing w:line="320" w:lineRule="atLeast"/>
              <w:jc w:val="center"/>
              <w:rPr>
                <w:rFonts w:ascii="Times New Roman" w:hAnsi="Times New Roman" w:eastAsia="宋体" w:cs="Times New Roman"/>
                <w:color w:val="000000" w:themeColor="text1"/>
                <w:szCs w:val="21"/>
              </w:rPr>
            </w:pPr>
          </w:p>
        </w:tc>
        <w:tc>
          <w:tcPr>
            <w:tcW w:w="1703"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cs="Times New Roman"/>
                <w:szCs w:val="21"/>
                <w:lang w:eastAsia="zh-CN"/>
              </w:rPr>
              <w:t>进料、</w:t>
            </w:r>
            <w:r>
              <w:rPr>
                <w:rFonts w:hint="eastAsia" w:ascii="Times New Roman" w:hAnsi="Times New Roman" w:cs="Times New Roman"/>
                <w:szCs w:val="21"/>
              </w:rPr>
              <w:t>破碎、振筛</w:t>
            </w:r>
          </w:p>
        </w:tc>
        <w:tc>
          <w:tcPr>
            <w:tcW w:w="108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43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rPr>
            </w:pPr>
            <w:r>
              <w:rPr>
                <w:rFonts w:hint="eastAsia" w:ascii="Times New Roman" w:hAnsi="Times New Roman" w:cs="Times New Roman"/>
                <w:szCs w:val="21"/>
              </w:rPr>
              <w:t>在</w:t>
            </w:r>
            <w:r>
              <w:rPr>
                <w:rFonts w:hint="eastAsia" w:ascii="Times New Roman" w:hAnsi="Times New Roman" w:cs="Times New Roman"/>
                <w:szCs w:val="21"/>
                <w:lang w:eastAsia="zh-CN"/>
              </w:rPr>
              <w:t>进</w:t>
            </w:r>
            <w:r>
              <w:rPr>
                <w:rFonts w:hint="eastAsia" w:ascii="Times New Roman" w:hAnsi="Times New Roman" w:cs="Times New Roman"/>
                <w:szCs w:val="21"/>
              </w:rPr>
              <w:t>料</w:t>
            </w:r>
            <w:r>
              <w:rPr>
                <w:rFonts w:hint="eastAsia" w:ascii="Times New Roman" w:hAnsi="Times New Roman" w:cs="Times New Roman"/>
                <w:szCs w:val="21"/>
                <w:lang w:eastAsia="zh-CN"/>
              </w:rPr>
              <w:t>机进料口</w:t>
            </w:r>
            <w:r>
              <w:rPr>
                <w:rFonts w:hint="eastAsia" w:ascii="Times New Roman" w:hAnsi="Times New Roman" w:cs="Times New Roman"/>
                <w:szCs w:val="21"/>
              </w:rPr>
              <w:t>，颚式破碎机</w:t>
            </w:r>
            <w:r>
              <w:rPr>
                <w:rFonts w:hint="eastAsia" w:ascii="Times New Roman" w:hAnsi="Times New Roman" w:cs="Times New Roman"/>
                <w:szCs w:val="21"/>
                <w:lang w:eastAsia="zh-CN"/>
              </w:rPr>
              <w:t>出料口</w:t>
            </w:r>
            <w:r>
              <w:rPr>
                <w:rFonts w:hint="eastAsia" w:ascii="Times New Roman" w:hAnsi="Times New Roman" w:cs="Times New Roman"/>
                <w:szCs w:val="21"/>
              </w:rPr>
              <w:t>、锤式破碎机</w:t>
            </w:r>
            <w:r>
              <w:rPr>
                <w:rFonts w:hint="eastAsia" w:ascii="Times New Roman" w:hAnsi="Times New Roman" w:cs="Times New Roman"/>
                <w:szCs w:val="21"/>
                <w:lang w:eastAsia="zh-CN"/>
              </w:rPr>
              <w:t>进料口和出料口</w:t>
            </w:r>
            <w:r>
              <w:rPr>
                <w:rFonts w:hint="eastAsia" w:ascii="Times New Roman" w:hAnsi="Times New Roman" w:cs="Times New Roman"/>
                <w:szCs w:val="21"/>
              </w:rPr>
              <w:t>、振筛机</w:t>
            </w:r>
            <w:r>
              <w:rPr>
                <w:rFonts w:hint="eastAsia" w:ascii="Times New Roman" w:hAnsi="Times New Roman" w:cs="Times New Roman"/>
                <w:szCs w:val="21"/>
                <w:lang w:eastAsia="zh-CN"/>
              </w:rPr>
              <w:t>进料口和出料口</w:t>
            </w:r>
            <w:r>
              <w:rPr>
                <w:rFonts w:hint="eastAsia" w:ascii="Times New Roman" w:hAnsi="Times New Roman" w:cs="Times New Roman"/>
                <w:szCs w:val="21"/>
              </w:rPr>
              <w:t>上方设置</w:t>
            </w:r>
            <w:r>
              <w:rPr>
                <w:rFonts w:hint="eastAsia" w:ascii="Times New Roman" w:hAnsi="Times New Roman" w:cs="Times New Roman"/>
                <w:szCs w:val="21"/>
                <w:lang w:val="en-US" w:eastAsia="zh-CN"/>
              </w:rPr>
              <w:t>6</w:t>
            </w:r>
            <w:r>
              <w:rPr>
                <w:rFonts w:hint="eastAsia" w:ascii="Times New Roman" w:hAnsi="Times New Roman" w:cs="Times New Roman"/>
                <w:szCs w:val="21"/>
              </w:rPr>
              <w:t>个伞形集气罩收集废气，粉尘经收集引至1套袋式除尘器处理后通过1根15m高排气筒外排</w:t>
            </w:r>
          </w:p>
        </w:tc>
        <w:tc>
          <w:tcPr>
            <w:tcW w:w="1149" w:type="dxa"/>
            <w:tcBorders>
              <w:top w:val="single" w:color="auto" w:sz="4" w:space="0"/>
              <w:left w:val="single" w:color="auto" w:sz="6" w:space="0"/>
              <w:bottom w:val="single" w:color="auto" w:sz="4"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837" w:type="dxa"/>
            <w:vMerge w:val="continue"/>
            <w:tcBorders>
              <w:top w:val="single" w:color="auto" w:sz="4" w:space="0"/>
              <w:left w:val="single" w:color="auto" w:sz="12" w:space="0"/>
              <w:right w:val="single" w:color="auto" w:sz="4" w:space="0"/>
            </w:tcBorders>
            <w:vAlign w:val="center"/>
          </w:tcPr>
          <w:p>
            <w:pPr>
              <w:spacing w:line="320" w:lineRule="atLeast"/>
              <w:jc w:val="center"/>
              <w:rPr>
                <w:rFonts w:ascii="Times New Roman" w:hAnsi="Times New Roman" w:eastAsia="宋体" w:cs="Times New Roman"/>
                <w:color w:val="000000" w:themeColor="text1"/>
                <w:szCs w:val="21"/>
              </w:rPr>
            </w:pPr>
          </w:p>
        </w:tc>
        <w:tc>
          <w:tcPr>
            <w:tcW w:w="1703"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cs="Times New Roman"/>
                <w:szCs w:val="21"/>
              </w:rPr>
              <w:t>成品库</w:t>
            </w:r>
          </w:p>
        </w:tc>
        <w:tc>
          <w:tcPr>
            <w:tcW w:w="108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Cs w:val="21"/>
              </w:rPr>
            </w:pPr>
            <w:r>
              <w:rPr>
                <w:rFonts w:ascii="Times New Roman" w:hAnsi="Times New Roman" w:eastAsia="宋体" w:cs="Times New Roman"/>
                <w:color w:val="000000" w:themeColor="text1"/>
                <w:szCs w:val="21"/>
              </w:rPr>
              <w:t>粉尘</w:t>
            </w:r>
          </w:p>
        </w:tc>
        <w:tc>
          <w:tcPr>
            <w:tcW w:w="43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bCs/>
                <w:spacing w:val="6"/>
                <w:szCs w:val="21"/>
              </w:rPr>
            </w:pPr>
            <w:r>
              <w:t>全封闭</w:t>
            </w:r>
            <w:r>
              <w:rPr>
                <w:rFonts w:hint="eastAsia"/>
              </w:rPr>
              <w:t>成品库</w:t>
            </w:r>
            <w:r>
              <w:t>，地面硬</w:t>
            </w:r>
            <w:r>
              <w:rPr>
                <w:rFonts w:hint="eastAsia"/>
              </w:rPr>
              <w:t>化，</w:t>
            </w:r>
            <w:r>
              <w:rPr>
                <w:rFonts w:hint="eastAsia"/>
                <w:lang w:eastAsia="zh-CN"/>
              </w:rPr>
              <w:t>进出口设全自动推门，</w:t>
            </w:r>
            <w:r>
              <w:rPr>
                <w:rFonts w:hint="eastAsia"/>
              </w:rPr>
              <w:t>原料区顶部设置一套雾炮机装置</w:t>
            </w:r>
          </w:p>
        </w:tc>
        <w:tc>
          <w:tcPr>
            <w:tcW w:w="1149" w:type="dxa"/>
            <w:tcBorders>
              <w:top w:val="single" w:color="auto" w:sz="4" w:space="0"/>
              <w:left w:val="single" w:color="auto" w:sz="6" w:space="0"/>
              <w:bottom w:val="single" w:color="auto" w:sz="4"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减轻粉尘</w:t>
            </w:r>
          </w:p>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837" w:type="dxa"/>
            <w:vMerge w:val="continue"/>
            <w:tcBorders>
              <w:top w:val="single" w:color="auto" w:sz="4" w:space="0"/>
              <w:left w:val="single" w:color="auto" w:sz="12" w:space="0"/>
              <w:right w:val="single" w:color="auto" w:sz="4" w:space="0"/>
            </w:tcBorders>
            <w:vAlign w:val="center"/>
          </w:tcPr>
          <w:p>
            <w:pPr>
              <w:spacing w:line="320" w:lineRule="atLeast"/>
              <w:jc w:val="center"/>
              <w:rPr>
                <w:rFonts w:ascii="Times New Roman" w:hAnsi="Times New Roman" w:eastAsia="宋体" w:cs="Times New Roman"/>
                <w:color w:val="000000" w:themeColor="text1"/>
                <w:szCs w:val="21"/>
              </w:rPr>
            </w:pPr>
          </w:p>
        </w:tc>
        <w:tc>
          <w:tcPr>
            <w:tcW w:w="1703"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szCs w:val="21"/>
              </w:rPr>
            </w:pPr>
            <w:r>
              <w:rPr>
                <w:rFonts w:hint="eastAsia" w:ascii="Times New Roman" w:hAnsi="Times New Roman" w:cs="Times New Roman"/>
                <w:szCs w:val="21"/>
              </w:rPr>
              <w:t>运输扬尘</w:t>
            </w:r>
          </w:p>
        </w:tc>
        <w:tc>
          <w:tcPr>
            <w:tcW w:w="108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粉尘</w:t>
            </w:r>
          </w:p>
        </w:tc>
        <w:tc>
          <w:tcPr>
            <w:tcW w:w="437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Cs w:val="21"/>
              </w:rPr>
            </w:pPr>
            <w:r>
              <w:rPr>
                <w:rFonts w:hint="eastAsia" w:ascii="Times New Roman" w:hAnsi="Times New Roman" w:eastAsia="宋体" w:cs="Times New Roman"/>
                <w:szCs w:val="21"/>
              </w:rPr>
              <w:t>运输车辆采用篷布遮盖，厂区地面全部做硬化处理，并定期对厂区地面及出入道路清洁、洒水抑尘。原料库、成品库密闭处理，只留车辆进出口，地面做混凝土硬化，原料堆存区以及配料上料区都安装洒水装置，保持堆场表层润湿</w:t>
            </w:r>
          </w:p>
        </w:tc>
        <w:tc>
          <w:tcPr>
            <w:tcW w:w="1149" w:type="dxa"/>
            <w:tcBorders>
              <w:top w:val="single" w:color="auto" w:sz="4" w:space="0"/>
              <w:left w:val="single" w:color="auto" w:sz="6"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减轻粉尘</w:t>
            </w:r>
          </w:p>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837" w:type="dxa"/>
            <w:vMerge w:val="restart"/>
            <w:tcBorders>
              <w:top w:val="single" w:color="auto" w:sz="6" w:space="0"/>
              <w:left w:val="single" w:color="auto" w:sz="12"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水污</w:t>
            </w:r>
          </w:p>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染物</w:t>
            </w: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ascii="Times New Roman" w:hAnsi="Times New Roman" w:cs="Times New Roman"/>
                <w:szCs w:val="21"/>
              </w:rPr>
              <w:t>生活污水</w:t>
            </w:r>
          </w:p>
        </w:tc>
        <w:tc>
          <w:tcPr>
            <w:tcW w:w="10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CODcr、SS、</w:t>
            </w:r>
          </w:p>
          <w:p>
            <w:pPr>
              <w:jc w:val="center"/>
              <w:rPr>
                <w:rFonts w:ascii="Times New Roman" w:hAnsi="Times New Roman" w:eastAsia="宋体" w:cs="Times New Roman"/>
                <w:color w:val="000000" w:themeColor="text1"/>
                <w:szCs w:val="21"/>
              </w:rPr>
            </w:pPr>
            <w:r>
              <w:rPr>
                <w:rFonts w:ascii="Times New Roman" w:hAnsi="Times New Roman" w:cs="Times New Roman"/>
                <w:szCs w:val="21"/>
              </w:rPr>
              <w:t>BOD</w:t>
            </w:r>
            <w:r>
              <w:rPr>
                <w:rFonts w:ascii="Times New Roman" w:hAnsi="Times New Roman" w:cs="Times New Roman"/>
                <w:szCs w:val="21"/>
                <w:vertAlign w:val="subscript"/>
              </w:rPr>
              <w:t>5</w:t>
            </w:r>
            <w:r>
              <w:rPr>
                <w:rFonts w:ascii="Times New Roman" w:hAnsi="Times New Roman" w:cs="Times New Roman"/>
                <w:szCs w:val="21"/>
              </w:rPr>
              <w:t>、NH</w:t>
            </w:r>
            <w:r>
              <w:rPr>
                <w:rFonts w:ascii="Times New Roman" w:hAnsi="Times New Roman" w:cs="Times New Roman"/>
                <w:szCs w:val="21"/>
                <w:vertAlign w:val="subscript"/>
              </w:rPr>
              <w:t>3</w:t>
            </w:r>
            <w:r>
              <w:rPr>
                <w:rFonts w:ascii="Times New Roman" w:hAnsi="Times New Roman" w:cs="Times New Roman"/>
                <w:szCs w:val="21"/>
              </w:rPr>
              <w:t>-N</w:t>
            </w:r>
          </w:p>
        </w:tc>
        <w:tc>
          <w:tcPr>
            <w:tcW w:w="437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pacing w:val="-2"/>
                <w:szCs w:val="21"/>
              </w:rPr>
            </w:pPr>
            <w:r>
              <w:rPr>
                <w:rFonts w:hint="eastAsia"/>
              </w:rPr>
              <w:t>旱厕，</w:t>
            </w:r>
            <w:r>
              <w:t>洒水抑尘，不外排</w:t>
            </w:r>
          </w:p>
        </w:tc>
        <w:tc>
          <w:tcPr>
            <w:tcW w:w="1149" w:type="dxa"/>
            <w:tcBorders>
              <w:top w:val="single" w:color="auto" w:sz="6" w:space="0"/>
              <w:left w:val="single" w:color="auto" w:sz="6" w:space="0"/>
              <w:bottom w:val="single" w:color="auto" w:sz="6"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837" w:type="dxa"/>
            <w:vMerge w:val="continue"/>
            <w:tcBorders>
              <w:left w:val="single" w:color="auto" w:sz="12"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ascii="Times New Roman" w:hAnsi="Times New Roman" w:cs="Times New Roman"/>
                <w:szCs w:val="21"/>
              </w:rPr>
              <w:t>洗车废水</w:t>
            </w:r>
          </w:p>
        </w:tc>
        <w:tc>
          <w:tcPr>
            <w:tcW w:w="10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ascii="Times New Roman" w:hAnsi="Times New Roman" w:cs="Times New Roman"/>
                <w:szCs w:val="21"/>
              </w:rPr>
              <w:t>SS</w:t>
            </w:r>
          </w:p>
        </w:tc>
        <w:tc>
          <w:tcPr>
            <w:tcW w:w="437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hint="eastAsia"/>
                <w:szCs w:val="21"/>
              </w:rPr>
              <w:t>洗车废水进入沉淀池沉淀处理后回用于厂区道路洒水</w:t>
            </w:r>
            <w:r>
              <w:t>抑尘，不外排</w:t>
            </w:r>
          </w:p>
        </w:tc>
        <w:tc>
          <w:tcPr>
            <w:tcW w:w="1149" w:type="dxa"/>
            <w:tcBorders>
              <w:top w:val="single" w:color="auto" w:sz="6" w:space="0"/>
              <w:left w:val="single" w:color="auto" w:sz="6" w:space="0"/>
              <w:bottom w:val="single" w:color="auto" w:sz="6"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837" w:type="dxa"/>
            <w:vMerge w:val="continue"/>
            <w:tcBorders>
              <w:left w:val="single" w:color="auto" w:sz="12"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ascii="Times New Roman" w:hAnsi="Times New Roman" w:cs="Times New Roman"/>
                <w:szCs w:val="21"/>
              </w:rPr>
              <w:t>初期雨水</w:t>
            </w:r>
          </w:p>
        </w:tc>
        <w:tc>
          <w:tcPr>
            <w:tcW w:w="10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ascii="Times New Roman" w:hAnsi="Times New Roman" w:cs="Times New Roman"/>
                <w:szCs w:val="21"/>
              </w:rPr>
              <w:t>SS</w:t>
            </w:r>
          </w:p>
        </w:tc>
        <w:tc>
          <w:tcPr>
            <w:tcW w:w="437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hint="eastAsia"/>
                <w:szCs w:val="21"/>
              </w:rPr>
              <w:t>设</w:t>
            </w:r>
            <w:r>
              <w:rPr>
                <w:rFonts w:hint="eastAsia"/>
                <w:szCs w:val="21"/>
                <w:lang w:val="en-US" w:eastAsia="zh-CN"/>
              </w:rPr>
              <w:t>2</w:t>
            </w:r>
            <w:r>
              <w:rPr>
                <w:rFonts w:hint="eastAsia"/>
                <w:szCs w:val="21"/>
              </w:rPr>
              <w:t>00m</w:t>
            </w:r>
            <w:r>
              <w:rPr>
                <w:rFonts w:hint="eastAsia"/>
                <w:szCs w:val="21"/>
                <w:vertAlign w:val="superscript"/>
              </w:rPr>
              <w:t>3</w:t>
            </w:r>
            <w:r>
              <w:rPr>
                <w:rFonts w:hint="eastAsia"/>
                <w:szCs w:val="21"/>
              </w:rPr>
              <w:t>雨水收集池一座，初期雨水经收集沉淀后回用于生产，不外排</w:t>
            </w:r>
          </w:p>
        </w:tc>
        <w:tc>
          <w:tcPr>
            <w:tcW w:w="1149" w:type="dxa"/>
            <w:tcBorders>
              <w:top w:val="single" w:color="auto" w:sz="6" w:space="0"/>
              <w:left w:val="single" w:color="auto" w:sz="6" w:space="0"/>
              <w:bottom w:val="single" w:color="auto" w:sz="6"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37" w:type="dxa"/>
            <w:vMerge w:val="restart"/>
            <w:tcBorders>
              <w:top w:val="single" w:color="auto" w:sz="6" w:space="0"/>
              <w:left w:val="single" w:color="auto" w:sz="12"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固体</w:t>
            </w:r>
          </w:p>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废物</w:t>
            </w:r>
          </w:p>
        </w:tc>
        <w:tc>
          <w:tcPr>
            <w:tcW w:w="1703" w:type="dxa"/>
            <w:tcBorders>
              <w:top w:val="single" w:color="auto" w:sz="6" w:space="0"/>
              <w:left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szCs w:val="21"/>
              </w:rPr>
              <w:t>布袋除尘器</w:t>
            </w:r>
          </w:p>
        </w:tc>
        <w:tc>
          <w:tcPr>
            <w:tcW w:w="10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hint="eastAsia"/>
                <w:szCs w:val="21"/>
              </w:rPr>
              <w:t>除尘灰</w:t>
            </w:r>
          </w:p>
        </w:tc>
        <w:tc>
          <w:tcPr>
            <w:tcW w:w="4374" w:type="dxa"/>
            <w:tcBorders>
              <w:top w:val="single" w:color="auto" w:sz="6" w:space="0"/>
              <w:left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ascii="Times New Roman" w:hAnsi="Times New Roman" w:cs="Times New Roman"/>
                <w:kern w:val="0"/>
                <w:szCs w:val="21"/>
              </w:rPr>
              <w:t>除尘器收尘</w:t>
            </w:r>
            <w:r>
              <w:rPr>
                <w:rFonts w:hint="eastAsia" w:ascii="Times New Roman" w:hAnsi="Times New Roman" w:cs="Times New Roman"/>
                <w:kern w:val="0"/>
                <w:szCs w:val="21"/>
              </w:rPr>
              <w:t>收集后与小于2cm的石料一起外售</w:t>
            </w:r>
          </w:p>
        </w:tc>
        <w:tc>
          <w:tcPr>
            <w:tcW w:w="1149" w:type="dxa"/>
            <w:vMerge w:val="restart"/>
            <w:tcBorders>
              <w:top w:val="single" w:color="auto" w:sz="6" w:space="0"/>
              <w:left w:val="single" w:color="auto" w:sz="6"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jc w:val="center"/>
        </w:trPr>
        <w:tc>
          <w:tcPr>
            <w:tcW w:w="837" w:type="dxa"/>
            <w:vMerge w:val="continue"/>
            <w:tcBorders>
              <w:left w:val="single" w:color="auto" w:sz="12" w:space="0"/>
              <w:right w:val="single" w:color="auto" w:sz="6" w:space="0"/>
            </w:tcBorders>
            <w:vAlign w:val="center"/>
          </w:tcPr>
          <w:p>
            <w:pPr>
              <w:widowControl/>
              <w:jc w:val="left"/>
              <w:rPr>
                <w:rFonts w:ascii="Times New Roman" w:hAnsi="Times New Roman" w:eastAsia="宋体" w:cs="Times New Roman"/>
                <w:color w:val="000000" w:themeColor="text1"/>
                <w:szCs w:val="21"/>
              </w:rPr>
            </w:pP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szCs w:val="21"/>
              </w:rPr>
              <w:t>生活系统</w:t>
            </w:r>
          </w:p>
        </w:tc>
        <w:tc>
          <w:tcPr>
            <w:tcW w:w="10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szCs w:val="21"/>
              </w:rPr>
              <w:t>生活垃圾</w:t>
            </w:r>
          </w:p>
        </w:tc>
        <w:tc>
          <w:tcPr>
            <w:tcW w:w="437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szCs w:val="21"/>
              </w:rPr>
              <w:t>集中收集，由当地环卫部门统一清运处理</w:t>
            </w:r>
          </w:p>
        </w:tc>
        <w:tc>
          <w:tcPr>
            <w:tcW w:w="1149" w:type="dxa"/>
            <w:vMerge w:val="continue"/>
            <w:tcBorders>
              <w:left w:val="single" w:color="auto" w:sz="6" w:space="0"/>
              <w:right w:val="single" w:color="auto" w:sz="12" w:space="0"/>
            </w:tcBorders>
            <w:vAlign w:val="center"/>
          </w:tcPr>
          <w:p>
            <w:pPr>
              <w:widowControl/>
              <w:jc w:val="left"/>
              <w:rPr>
                <w:rFonts w:ascii="Times New Roman" w:hAnsi="Times New Roman" w:eastAsia="宋体" w:cs="Times New Roman"/>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837" w:type="dxa"/>
            <w:vMerge w:val="continue"/>
            <w:tcBorders>
              <w:left w:val="single" w:color="auto" w:sz="12" w:space="0"/>
              <w:right w:val="single" w:color="auto" w:sz="6" w:space="0"/>
            </w:tcBorders>
            <w:vAlign w:val="center"/>
          </w:tcPr>
          <w:p>
            <w:pPr>
              <w:widowControl/>
              <w:jc w:val="left"/>
              <w:rPr>
                <w:rFonts w:ascii="Times New Roman" w:hAnsi="Times New Roman" w:eastAsia="宋体" w:cs="Times New Roman"/>
                <w:color w:val="000000" w:themeColor="text1"/>
                <w:szCs w:val="21"/>
              </w:rPr>
            </w:pP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hint="eastAsia"/>
                <w:szCs w:val="21"/>
              </w:rPr>
              <w:t>生产</w:t>
            </w:r>
          </w:p>
        </w:tc>
        <w:tc>
          <w:tcPr>
            <w:tcW w:w="10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hint="eastAsia"/>
                <w:szCs w:val="21"/>
              </w:rPr>
              <w:t>废矿物油</w:t>
            </w:r>
          </w:p>
        </w:tc>
        <w:tc>
          <w:tcPr>
            <w:tcW w:w="437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hint="eastAsia" w:ascii="Times New Roman" w:hAnsi="Times New Roman" w:cs="Times New Roman"/>
                <w:kern w:val="0"/>
                <w:szCs w:val="21"/>
              </w:rPr>
              <w:t>维修产生的废机油暂存于厂区危废暂存间，交由有资质的危废单位处置</w:t>
            </w:r>
          </w:p>
        </w:tc>
        <w:tc>
          <w:tcPr>
            <w:tcW w:w="1149" w:type="dxa"/>
            <w:vMerge w:val="continue"/>
            <w:tcBorders>
              <w:left w:val="single" w:color="auto" w:sz="6" w:space="0"/>
              <w:right w:val="single" w:color="auto" w:sz="12" w:space="0"/>
            </w:tcBorders>
            <w:vAlign w:val="center"/>
          </w:tcPr>
          <w:p>
            <w:pPr>
              <w:widowControl/>
              <w:jc w:val="left"/>
              <w:rPr>
                <w:rFonts w:ascii="Times New Roman" w:hAnsi="Times New Roman" w:eastAsia="宋体" w:cs="Times New Roman"/>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837" w:type="dxa"/>
            <w:vMerge w:val="restart"/>
            <w:tcBorders>
              <w:top w:val="single" w:color="auto" w:sz="6" w:space="0"/>
              <w:left w:val="single" w:color="auto" w:sz="12" w:space="0"/>
              <w:bottom w:val="single" w:color="auto" w:sz="6"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噪声</w:t>
            </w:r>
          </w:p>
        </w:tc>
        <w:tc>
          <w:tcPr>
            <w:tcW w:w="1703" w:type="dxa"/>
            <w:tcBorders>
              <w:top w:val="single" w:color="auto" w:sz="6" w:space="0"/>
              <w:left w:val="single" w:color="auto" w:sz="6" w:space="0"/>
              <w:bottom w:val="single" w:color="auto" w:sz="6"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生产设备</w:t>
            </w:r>
          </w:p>
        </w:tc>
        <w:tc>
          <w:tcPr>
            <w:tcW w:w="10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机械噪声</w:t>
            </w:r>
          </w:p>
        </w:tc>
        <w:tc>
          <w:tcPr>
            <w:tcW w:w="4374" w:type="dxa"/>
            <w:tcBorders>
              <w:top w:val="single" w:color="auto" w:sz="6" w:space="0"/>
              <w:left w:val="single" w:color="auto" w:sz="6" w:space="0"/>
              <w:bottom w:val="single" w:color="auto" w:sz="6"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cs="Times New Roman"/>
                <w:kern w:val="0"/>
                <w:szCs w:val="21"/>
              </w:rPr>
              <w:t>选用低噪音设备，采用室内隔声、基础减振，加强绿化</w:t>
            </w:r>
          </w:p>
        </w:tc>
        <w:tc>
          <w:tcPr>
            <w:tcW w:w="1149" w:type="dxa"/>
            <w:vMerge w:val="restart"/>
            <w:tcBorders>
              <w:top w:val="single" w:color="auto" w:sz="6" w:space="0"/>
              <w:left w:val="single" w:color="auto" w:sz="6" w:space="0"/>
              <w:bottom w:val="single" w:color="auto" w:sz="6"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厂界噪声</w:t>
            </w:r>
          </w:p>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37"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宋体" w:cs="Times New Roman"/>
                <w:color w:val="000000" w:themeColor="text1"/>
                <w:szCs w:val="21"/>
              </w:rPr>
            </w:pPr>
          </w:p>
        </w:tc>
        <w:tc>
          <w:tcPr>
            <w:tcW w:w="1703" w:type="dxa"/>
            <w:tcBorders>
              <w:top w:val="single" w:color="auto" w:sz="6" w:space="0"/>
              <w:left w:val="single" w:color="auto" w:sz="6" w:space="0"/>
              <w:bottom w:val="single" w:color="auto" w:sz="6"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运输噪声</w:t>
            </w:r>
          </w:p>
        </w:tc>
        <w:tc>
          <w:tcPr>
            <w:tcW w:w="10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交通噪声</w:t>
            </w:r>
          </w:p>
        </w:tc>
        <w:tc>
          <w:tcPr>
            <w:tcW w:w="4374" w:type="dxa"/>
            <w:tcBorders>
              <w:top w:val="single" w:color="auto" w:sz="6" w:space="0"/>
              <w:left w:val="single" w:color="auto" w:sz="6" w:space="0"/>
              <w:bottom w:val="single" w:color="auto" w:sz="6"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道路、厂区绿化，禁止鸣笛，减速慢行</w:t>
            </w:r>
          </w:p>
        </w:tc>
        <w:tc>
          <w:tcPr>
            <w:tcW w:w="1149"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Times New Roman" w:hAnsi="Times New Roman" w:eastAsia="宋体" w:cs="Times New Roman"/>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37" w:type="dxa"/>
            <w:tcBorders>
              <w:top w:val="single" w:color="auto" w:sz="6" w:space="0"/>
              <w:left w:val="single" w:color="auto" w:sz="12" w:space="0"/>
              <w:bottom w:val="single" w:color="auto" w:sz="6" w:space="0"/>
              <w:right w:val="single" w:color="auto" w:sz="6"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其他</w:t>
            </w:r>
          </w:p>
        </w:tc>
        <w:tc>
          <w:tcPr>
            <w:tcW w:w="8312" w:type="dxa"/>
            <w:gridSpan w:val="4"/>
            <w:tcBorders>
              <w:top w:val="single" w:color="auto" w:sz="6" w:space="0"/>
              <w:left w:val="single" w:color="auto" w:sz="6" w:space="0"/>
              <w:bottom w:val="single" w:color="auto" w:sz="6" w:space="0"/>
              <w:right w:val="single" w:color="auto" w:sz="12" w:space="0"/>
            </w:tcBorders>
            <w:vAlign w:val="center"/>
          </w:tcPr>
          <w:p>
            <w:pPr>
              <w:spacing w:line="320" w:lineRule="atLeas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地面硬化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9149" w:type="dxa"/>
            <w:gridSpan w:val="5"/>
            <w:tcBorders>
              <w:top w:val="single" w:color="auto" w:sz="6" w:space="0"/>
              <w:left w:val="single" w:color="auto" w:sz="12" w:space="0"/>
              <w:bottom w:val="single" w:color="auto" w:sz="12" w:space="0"/>
              <w:right w:val="single" w:color="auto" w:sz="12" w:space="0"/>
            </w:tcBorders>
            <w:vAlign w:val="center"/>
          </w:tcPr>
          <w:p>
            <w:pPr>
              <w:spacing w:line="480" w:lineRule="exact"/>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生态保护措施及预期效果：</w:t>
            </w:r>
          </w:p>
          <w:p>
            <w:pPr>
              <w:snapToGrid w:val="0"/>
              <w:spacing w:line="48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1、加强建设项目自身的污染治理，采用先进、高效的防治措施减少全厂的三废排放对当地生态环境的影响。本项目工程投产运行后各项污染源做到了达标排放，但仍然会对当地环境造成一定的影响，因此，应从全厂范围内进行严格管理，使全厂的污染物排放总量进一步削减，减轻对区域环境的污染。</w:t>
            </w:r>
          </w:p>
          <w:p>
            <w:pPr>
              <w:snapToGrid w:val="0"/>
              <w:spacing w:line="480" w:lineRule="exact"/>
              <w:ind w:firstLine="480" w:firstLineChars="200"/>
              <w:jc w:val="left"/>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2、为进一步改善区域内生态环境，建设单位在加强厂内三废治理的同时，还应加强厂内绿地建设，利用植物作为治理工业污染的一种经济长效手段，发挥它们在吸收有害气体、净化空气、降低噪声、改善环境，保持生态平衡方面的作用。重点在办公区和道路两侧，种植树木花草等</w:t>
            </w:r>
            <w:r>
              <w:rPr>
                <w:rFonts w:hint="eastAsia" w:ascii="Times New Roman" w:hAnsi="Times New Roman" w:eastAsia="宋体" w:cs="Times New Roman"/>
                <w:color w:val="000000" w:themeColor="text1"/>
                <w:sz w:val="24"/>
                <w:szCs w:val="24"/>
              </w:rPr>
              <w:t>。</w:t>
            </w: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snapToGrid w:val="0"/>
              <w:spacing w:line="480" w:lineRule="exact"/>
              <w:ind w:firstLine="480" w:firstLineChars="200"/>
              <w:jc w:val="left"/>
              <w:rPr>
                <w:rFonts w:ascii="Times New Roman" w:hAnsi="Times New Roman" w:eastAsia="宋体" w:cs="Times New Roman"/>
                <w:color w:val="000000" w:themeColor="text1"/>
                <w:sz w:val="24"/>
                <w:szCs w:val="24"/>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r>
              <w:rPr>
                <w:rFonts w:hint="eastAsia" w:ascii="Times New Roman" w:cs="Times New Roman"/>
              </w:rPr>
              <w:t>.</w:t>
            </w:r>
          </w:p>
        </w:tc>
      </w:tr>
    </w:tbl>
    <w:p>
      <w:pPr>
        <w:spacing w:line="480" w:lineRule="exact"/>
        <w:rPr>
          <w:rFonts w:ascii="Times New Roman" w:hAnsi="Times New Roman" w:eastAsia="黑体" w:cs="Times New Roman"/>
          <w:bCs/>
          <w:color w:val="000000" w:themeColor="text1"/>
          <w:sz w:val="32"/>
          <w:szCs w:val="32"/>
        </w:rPr>
      </w:pPr>
      <w:r>
        <w:rPr>
          <w:rFonts w:ascii="Times New Roman" w:hAnsi="Times New Roman" w:eastAsia="黑体" w:cs="Times New Roman"/>
          <w:bCs/>
          <w:color w:val="000000" w:themeColor="text1"/>
          <w:sz w:val="32"/>
          <w:szCs w:val="32"/>
        </w:rPr>
        <w:br w:type="page"/>
      </w:r>
    </w:p>
    <w:p>
      <w:pPr>
        <w:spacing w:line="480" w:lineRule="exact"/>
        <w:rPr>
          <w:rFonts w:ascii="Times New Roman" w:hAnsi="Times New Roman" w:eastAsia="宋体" w:cs="Times New Roman"/>
          <w:color w:val="000000" w:themeColor="text1"/>
          <w:sz w:val="24"/>
          <w:szCs w:val="24"/>
        </w:rPr>
      </w:pPr>
      <w:r>
        <w:rPr>
          <w:rFonts w:hint="eastAsia" w:ascii="Times New Roman" w:hAnsi="Times New Roman" w:eastAsia="黑体" w:cs="Times New Roman"/>
          <w:bCs/>
          <w:color w:val="000000" w:themeColor="text1"/>
          <w:sz w:val="32"/>
          <w:szCs w:val="32"/>
        </w:rPr>
        <w:t>九、</w:t>
      </w:r>
      <w:r>
        <w:rPr>
          <w:rFonts w:ascii="Times New Roman" w:hAnsi="Times New Roman" w:eastAsia="黑体" w:cs="Times New Roman"/>
          <w:bCs/>
          <w:color w:val="000000" w:themeColor="text1"/>
          <w:sz w:val="32"/>
          <w:szCs w:val="32"/>
        </w:rPr>
        <w:t>结论与建议</w:t>
      </w:r>
    </w:p>
    <w:tbl>
      <w:tblPr>
        <w:tblStyle w:val="40"/>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4"/>
        <w:gridCol w:w="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2" w:type="dxa"/>
          <w:trHeight w:val="2136" w:hRule="atLeast"/>
          <w:jc w:val="center"/>
        </w:trPr>
        <w:tc>
          <w:tcPr>
            <w:tcW w:w="9234" w:type="dxa"/>
            <w:tcBorders>
              <w:top w:val="single" w:color="auto" w:sz="12" w:space="0"/>
              <w:left w:val="single" w:color="auto" w:sz="12" w:space="0"/>
              <w:bottom w:val="single" w:color="auto" w:sz="6" w:space="0"/>
              <w:right w:val="single" w:color="auto" w:sz="12" w:space="0"/>
            </w:tcBorders>
          </w:tcPr>
          <w:p>
            <w:pPr>
              <w:tabs>
                <w:tab w:val="left" w:pos="3015"/>
              </w:tabs>
              <w:spacing w:before="156" w:beforeLines="50" w:after="156" w:afterLines="50" w:line="500" w:lineRule="exact"/>
              <w:rPr>
                <w:rFonts w:ascii="Times New Roman" w:hAnsi="Times New Roman" w:eastAsia="黑体" w:cs="Times New Roman"/>
                <w:bCs/>
                <w:color w:val="000000" w:themeColor="text1"/>
                <w:sz w:val="28"/>
                <w:szCs w:val="28"/>
              </w:rPr>
            </w:pPr>
            <w:r>
              <w:rPr>
                <w:rFonts w:ascii="Times New Roman" w:hAnsi="Times New Roman" w:eastAsia="宋体" w:cs="Times New Roman"/>
                <w:b/>
                <w:color w:val="000000" w:themeColor="text1"/>
                <w:sz w:val="24"/>
                <w:szCs w:val="24"/>
              </w:rPr>
              <w:t>1、建设概况</w:t>
            </w:r>
          </w:p>
          <w:p>
            <w:pPr>
              <w:spacing w:line="460" w:lineRule="exact"/>
              <w:ind w:firstLine="480" w:firstLineChars="200"/>
              <w:rPr>
                <w:rFonts w:ascii="Times New Roman" w:hAnsi="Times New Roman" w:cs="Times New Roman"/>
                <w:kern w:val="0"/>
                <w:sz w:val="24"/>
                <w:szCs w:val="24"/>
              </w:rPr>
            </w:pPr>
            <w:r>
              <w:rPr>
                <w:rFonts w:hint="eastAsia" w:ascii="Times New Roman" w:hAnsi="Times New Roman" w:cs="Times New Roman"/>
                <w:sz w:val="24"/>
                <w:szCs w:val="24"/>
              </w:rPr>
              <w:t>鑫路通石料厂利用尾矿废石年产10万吨机制石料项目</w:t>
            </w:r>
            <w:r>
              <w:rPr>
                <w:rFonts w:ascii="Times New Roman" w:hAnsi="Times New Roman" w:cs="Times New Roman"/>
                <w:color w:val="000000" w:themeColor="text1"/>
                <w:sz w:val="24"/>
                <w:szCs w:val="24"/>
              </w:rPr>
              <w:t>位于</w:t>
            </w:r>
            <w:r>
              <w:rPr>
                <w:rFonts w:hint="eastAsia" w:ascii="Times New Roman" w:hAnsi="Times New Roman" w:cs="Times New Roman"/>
                <w:bCs/>
                <w:color w:val="000000" w:themeColor="text1"/>
                <w:sz w:val="24"/>
                <w:szCs w:val="24"/>
              </w:rPr>
              <w:t>山西省忻州市代县新高乡周流村南</w:t>
            </w:r>
            <w:r>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厂区总占地面积为</w:t>
            </w:r>
            <w:r>
              <w:rPr>
                <w:rFonts w:hint="eastAsia" w:ascii="Times New Roman" w:hAnsi="Times New Roman" w:cs="Times New Roman"/>
                <w:color w:val="000000" w:themeColor="text1"/>
                <w:sz w:val="24"/>
                <w:szCs w:val="24"/>
              </w:rPr>
              <w:t>5927</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，占地为</w:t>
            </w:r>
            <w:r>
              <w:rPr>
                <w:rFonts w:hint="eastAsia" w:ascii="Times New Roman" w:hAnsi="Times New Roman" w:cs="Times New Roman"/>
                <w:color w:val="000000" w:themeColor="text1"/>
                <w:sz w:val="24"/>
                <w:szCs w:val="24"/>
              </w:rPr>
              <w:t>工业</w:t>
            </w:r>
            <w:r>
              <w:rPr>
                <w:rFonts w:ascii="Times New Roman" w:hAnsi="Times New Roman" w:cs="Times New Roman"/>
                <w:sz w:val="24"/>
                <w:szCs w:val="24"/>
              </w:rPr>
              <w:t>闲置场地</w:t>
            </w:r>
            <w:r>
              <w:rPr>
                <w:rFonts w:ascii="Times New Roman" w:hAnsi="Times New Roman" w:cs="Times New Roman"/>
                <w:kern w:val="0"/>
                <w:sz w:val="24"/>
                <w:szCs w:val="24"/>
              </w:rPr>
              <w:t>。</w:t>
            </w:r>
            <w:r>
              <w:rPr>
                <w:rFonts w:ascii="Times New Roman" w:hAnsi="Times New Roman" w:cs="Times New Roman"/>
                <w:kern w:val="10"/>
                <w:sz w:val="24"/>
                <w:szCs w:val="24"/>
              </w:rPr>
              <w:t>本项目总投资</w:t>
            </w:r>
            <w:r>
              <w:rPr>
                <w:rFonts w:hint="eastAsia" w:ascii="Times New Roman" w:hAnsi="Times New Roman" w:cs="Times New Roman"/>
                <w:kern w:val="10"/>
                <w:sz w:val="24"/>
                <w:szCs w:val="24"/>
              </w:rPr>
              <w:t>150</w:t>
            </w:r>
            <w:r>
              <w:rPr>
                <w:rFonts w:ascii="Times New Roman" w:hAnsi="Times New Roman" w:cs="Times New Roman"/>
                <w:kern w:val="10"/>
                <w:sz w:val="24"/>
                <w:szCs w:val="24"/>
              </w:rPr>
              <w:t>万元，资金全部为企业自筹，其中，环保</w:t>
            </w:r>
            <w:r>
              <w:rPr>
                <w:rFonts w:ascii="Times New Roman" w:hAnsi="Times New Roman" w:cs="Times New Roman"/>
                <w:sz w:val="24"/>
                <w:szCs w:val="24"/>
              </w:rPr>
              <w:t>投资</w:t>
            </w:r>
            <w:r>
              <w:rPr>
                <w:rFonts w:hint="eastAsia" w:ascii="Times New Roman" w:hAnsi="Times New Roman" w:cs="Times New Roman"/>
                <w:sz w:val="24"/>
                <w:szCs w:val="24"/>
              </w:rPr>
              <w:t>30</w:t>
            </w:r>
            <w:r>
              <w:rPr>
                <w:rFonts w:ascii="Times New Roman" w:hAnsi="Times New Roman" w:cs="Times New Roman"/>
                <w:sz w:val="24"/>
                <w:szCs w:val="24"/>
              </w:rPr>
              <w:t>万元，占总投资比例的</w:t>
            </w:r>
            <w:r>
              <w:rPr>
                <w:rFonts w:hint="eastAsia" w:ascii="Times New Roman" w:hAnsi="Times New Roman" w:cs="Times New Roman"/>
                <w:sz w:val="24"/>
                <w:szCs w:val="24"/>
              </w:rPr>
              <w:t>20</w:t>
            </w:r>
            <w:r>
              <w:rPr>
                <w:rFonts w:ascii="Times New Roman" w:hAnsi="Times New Roman" w:cs="Times New Roman"/>
                <w:sz w:val="24"/>
                <w:szCs w:val="24"/>
              </w:rPr>
              <w:t>%。本项目北侧为</w:t>
            </w:r>
            <w:r>
              <w:rPr>
                <w:rFonts w:hint="eastAsia" w:ascii="Times New Roman" w:hAnsi="Times New Roman" w:cs="Times New Roman"/>
                <w:sz w:val="24"/>
                <w:szCs w:val="24"/>
              </w:rPr>
              <w:t>闲置空地和农田，再往北为选矿厂</w:t>
            </w:r>
            <w:r>
              <w:rPr>
                <w:rFonts w:ascii="Times New Roman" w:hAnsi="Times New Roman" w:cs="Times New Roman"/>
                <w:sz w:val="24"/>
                <w:szCs w:val="24"/>
              </w:rPr>
              <w:t>，</w:t>
            </w:r>
            <w:r>
              <w:rPr>
                <w:rFonts w:hint="eastAsia" w:ascii="Times New Roman" w:hAnsi="Times New Roman" w:cs="Times New Roman"/>
                <w:sz w:val="24"/>
                <w:szCs w:val="24"/>
              </w:rPr>
              <w:t>东</w:t>
            </w:r>
            <w:r>
              <w:rPr>
                <w:rFonts w:ascii="Times New Roman" w:hAnsi="Times New Roman" w:cs="Times New Roman"/>
                <w:sz w:val="24"/>
                <w:szCs w:val="24"/>
              </w:rPr>
              <w:t>侧为</w:t>
            </w:r>
            <w:r>
              <w:rPr>
                <w:rFonts w:hint="eastAsia" w:ascii="Times New Roman" w:hAnsi="Times New Roman" w:cs="Times New Roman"/>
                <w:sz w:val="24"/>
                <w:szCs w:val="24"/>
              </w:rPr>
              <w:t>林地，再往东为选矿厂</w:t>
            </w:r>
            <w:r>
              <w:rPr>
                <w:rFonts w:ascii="Times New Roman" w:hAnsi="Times New Roman" w:cs="Times New Roman"/>
                <w:sz w:val="24"/>
                <w:szCs w:val="24"/>
              </w:rPr>
              <w:t>，南侧为</w:t>
            </w:r>
            <w:r>
              <w:rPr>
                <w:rFonts w:hint="eastAsia" w:ascii="Times New Roman" w:hAnsi="Times New Roman" w:cs="Times New Roman"/>
                <w:sz w:val="24"/>
                <w:szCs w:val="24"/>
              </w:rPr>
              <w:t>选矿厂</w:t>
            </w:r>
            <w:r>
              <w:rPr>
                <w:rFonts w:ascii="Times New Roman" w:hAnsi="Times New Roman" w:cs="Times New Roman"/>
                <w:sz w:val="24"/>
                <w:szCs w:val="24"/>
              </w:rPr>
              <w:t>，</w:t>
            </w:r>
            <w:r>
              <w:rPr>
                <w:rFonts w:hint="eastAsia" w:ascii="Times New Roman" w:hAnsi="Times New Roman" w:cs="Times New Roman"/>
                <w:sz w:val="24"/>
                <w:szCs w:val="24"/>
              </w:rPr>
              <w:t>西侧为空地</w:t>
            </w:r>
            <w:r>
              <w:rPr>
                <w:rFonts w:ascii="Times New Roman" w:hAnsi="Times New Roman" w:cs="Times New Roman"/>
                <w:sz w:val="24"/>
                <w:szCs w:val="24"/>
              </w:rPr>
              <w:t>。本项目在厂</w:t>
            </w:r>
            <w:r>
              <w:rPr>
                <w:rFonts w:ascii="Times New Roman" w:hAnsi="Times New Roman" w:cs="Times New Roman"/>
                <w:kern w:val="0"/>
                <w:sz w:val="24"/>
                <w:szCs w:val="24"/>
              </w:rPr>
              <w:t>区内</w:t>
            </w:r>
            <w:r>
              <w:rPr>
                <w:rFonts w:hint="eastAsia" w:ascii="Times New Roman" w:hAnsi="Times New Roman" w:cs="Times New Roman"/>
                <w:sz w:val="24"/>
                <w:szCs w:val="24"/>
              </w:rPr>
              <w:t>新建厂房600平方米，办公用房125平方米，厂区硬化1000平方米、新建原料库、成品库等</w:t>
            </w:r>
            <w:r>
              <w:rPr>
                <w:rFonts w:ascii="Times New Roman" w:hAnsi="Times New Roman" w:cs="Times New Roman"/>
                <w:bCs/>
                <w:kern w:val="24"/>
                <w:sz w:val="24"/>
                <w:szCs w:val="24"/>
              </w:rPr>
              <w:t>。</w:t>
            </w:r>
            <w:r>
              <w:rPr>
                <w:rFonts w:hint="eastAsia" w:ascii="Times New Roman" w:hAnsi="Times New Roman" w:cs="Times New Roman"/>
                <w:sz w:val="24"/>
                <w:szCs w:val="24"/>
              </w:rPr>
              <w:t>年产10万吨机制石料项目</w:t>
            </w:r>
            <w:r>
              <w:rPr>
                <w:rFonts w:ascii="Times New Roman" w:hAnsi="Times New Roman" w:cs="Times New Roman"/>
                <w:bCs/>
                <w:sz w:val="24"/>
                <w:szCs w:val="24"/>
              </w:rPr>
              <w:t>。</w:t>
            </w:r>
          </w:p>
          <w:p>
            <w:pPr>
              <w:spacing w:before="156" w:beforeLines="50" w:line="500" w:lineRule="exact"/>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2、环境质量现状</w:t>
            </w:r>
          </w:p>
          <w:p>
            <w:pPr>
              <w:spacing w:line="500" w:lineRule="exact"/>
              <w:ind w:firstLine="480" w:firstLineChars="200"/>
              <w:rPr>
                <w:rFonts w:ascii="Times New Roman" w:hAnsi="Times New Roman" w:eastAsia="宋体" w:cs="Times New Roman"/>
                <w:bCs/>
                <w:color w:val="000000" w:themeColor="text1"/>
                <w:sz w:val="24"/>
                <w:szCs w:val="24"/>
              </w:rPr>
            </w:pPr>
            <w:r>
              <w:rPr>
                <w:rFonts w:ascii="Times New Roman" w:hAnsi="Times New Roman" w:eastAsia="宋体" w:cs="Times New Roman"/>
                <w:bCs/>
                <w:color w:val="000000" w:themeColor="text1"/>
                <w:sz w:val="24"/>
                <w:szCs w:val="24"/>
              </w:rPr>
              <w:t>（1）大气环境质量现状</w:t>
            </w:r>
          </w:p>
          <w:p>
            <w:pPr>
              <w:snapToGrid w:val="0"/>
              <w:spacing w:line="500" w:lineRule="exact"/>
              <w:ind w:firstLine="480" w:firstLineChars="200"/>
              <w:rPr>
                <w:rFonts w:ascii="Times New Roman" w:hAnsi="Times New Roman" w:eastAsia="宋体" w:cs="Times New Roman"/>
                <w:bCs/>
                <w:color w:val="000000" w:themeColor="text1"/>
                <w:sz w:val="24"/>
                <w:szCs w:val="24"/>
              </w:rPr>
            </w:pPr>
            <w:r>
              <w:rPr>
                <w:rFonts w:ascii="Times New Roman" w:hAnsi="Times New Roman" w:eastAsia="宋体" w:cs="Times New Roman"/>
                <w:sz w:val="24"/>
                <w:szCs w:val="24"/>
              </w:rPr>
              <w:t>本次评价收集了代县201</w:t>
            </w:r>
            <w:r>
              <w:rPr>
                <w:rFonts w:hint="eastAsia" w:ascii="Times New Roman" w:hAnsi="Times New Roman" w:eastAsia="宋体" w:cs="Times New Roman"/>
                <w:sz w:val="24"/>
                <w:szCs w:val="24"/>
              </w:rPr>
              <w:t>9</w:t>
            </w:r>
            <w:r>
              <w:rPr>
                <w:rFonts w:ascii="Times New Roman" w:hAnsi="Times New Roman" w:eastAsia="宋体" w:cs="Times New Roman"/>
                <w:sz w:val="24"/>
                <w:szCs w:val="24"/>
              </w:rPr>
              <w:t>年的环境空气质量年平均浓度值报表，区域的</w:t>
            </w:r>
            <w:r>
              <w:rPr>
                <w:rFonts w:ascii="Times New Roman" w:hAnsi="Times New Roman" w:cs="Times New Roman"/>
                <w:sz w:val="24"/>
                <w:szCs w:val="24"/>
              </w:rPr>
              <w:t>NO</w:t>
            </w:r>
            <w:r>
              <w:rPr>
                <w:rFonts w:ascii="Times New Roman" w:hAnsi="Times New Roman" w:cs="Times New Roman"/>
                <w:sz w:val="24"/>
                <w:szCs w:val="24"/>
                <w:vertAlign w:val="subscript"/>
              </w:rPr>
              <w:t>2</w:t>
            </w:r>
            <w:r>
              <w:rPr>
                <w:rFonts w:ascii="Times New Roman" w:hAnsi="Times New Roman" w:eastAsia="宋体" w:cs="Times New Roman"/>
                <w:color w:val="000000"/>
                <w:sz w:val="24"/>
                <w:szCs w:val="24"/>
              </w:rPr>
              <w:t>、</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eastAsia="宋体" w:cs="Times New Roman"/>
                <w:sz w:val="24"/>
                <w:szCs w:val="24"/>
              </w:rPr>
              <w:t>年平均浓度值满足《环境空气质量标准》（GB3095-2012）中二级标准的要求；</w:t>
            </w:r>
            <w:r>
              <w:rPr>
                <w:rFonts w:ascii="Times New Roman" w:hAnsi="Times New Roman" w:eastAsia="宋体" w:cs="Times New Roman"/>
                <w:bCs/>
                <w:sz w:val="24"/>
                <w:szCs w:val="24"/>
              </w:rPr>
              <w:t>PM</w:t>
            </w:r>
            <w:r>
              <w:rPr>
                <w:rFonts w:ascii="Times New Roman" w:hAnsi="Times New Roman" w:eastAsia="宋体" w:cs="Times New Roman"/>
                <w:bCs/>
                <w:sz w:val="24"/>
                <w:szCs w:val="24"/>
                <w:vertAlign w:val="subscript"/>
              </w:rPr>
              <w:t>10</w:t>
            </w:r>
            <w:r>
              <w:rPr>
                <w:rFonts w:ascii="Times New Roman" w:hAnsi="Times New Roman" w:eastAsia="宋体" w:cs="Times New Roman"/>
                <w:bCs/>
                <w:sz w:val="24"/>
                <w:szCs w:val="24"/>
              </w:rPr>
              <w:t>、PM</w:t>
            </w:r>
            <w:r>
              <w:rPr>
                <w:rFonts w:ascii="Times New Roman" w:hAnsi="Times New Roman" w:eastAsia="宋体" w:cs="Times New Roman"/>
                <w:bCs/>
                <w:sz w:val="24"/>
                <w:szCs w:val="24"/>
                <w:vertAlign w:val="subscript"/>
              </w:rPr>
              <w:t>2.5</w:t>
            </w:r>
            <w:r>
              <w:rPr>
                <w:rFonts w:ascii="Times New Roman" w:hAnsi="Times New Roman" w:eastAsia="宋体" w:cs="Times New Roman"/>
                <w:bCs/>
                <w:sz w:val="24"/>
                <w:szCs w:val="24"/>
              </w:rPr>
              <w:t>、</w:t>
            </w: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eastAsia="宋体" w:cs="Times New Roman"/>
                <w:bCs/>
                <w:sz w:val="24"/>
                <w:szCs w:val="24"/>
              </w:rPr>
              <w:t>、</w:t>
            </w:r>
            <w:r>
              <w:rPr>
                <w:rFonts w:ascii="Times New Roman" w:hAnsi="Times New Roman" w:eastAsia="宋体" w:cs="Times New Roman"/>
                <w:color w:val="000000"/>
                <w:sz w:val="24"/>
                <w:szCs w:val="24"/>
              </w:rPr>
              <w:t>CO</w:t>
            </w:r>
            <w:r>
              <w:rPr>
                <w:rFonts w:ascii="Times New Roman" w:hAnsi="Times New Roman" w:eastAsia="宋体" w:cs="Times New Roman"/>
                <w:sz w:val="24"/>
                <w:szCs w:val="24"/>
              </w:rPr>
              <w:t>均不满足《环境空气质量标准》（GB3095-2012）中二级标准的要求</w:t>
            </w:r>
            <w:r>
              <w:rPr>
                <w:rFonts w:ascii="Times New Roman" w:hAnsi="Times New Roman" w:eastAsia="宋体" w:cs="Times New Roman"/>
                <w:bCs/>
                <w:sz w:val="24"/>
                <w:szCs w:val="24"/>
              </w:rPr>
              <w:t>。</w:t>
            </w:r>
            <w:r>
              <w:rPr>
                <w:rFonts w:ascii="Times New Roman" w:hAnsi="Times New Roman" w:eastAsia="宋体" w:cs="Times New Roman"/>
                <w:color w:val="000000"/>
                <w:sz w:val="24"/>
                <w:szCs w:val="24"/>
              </w:rPr>
              <w:t>因此</w:t>
            </w:r>
            <w:r>
              <w:rPr>
                <w:rFonts w:ascii="Times New Roman" w:hAnsi="Times New Roman" w:eastAsia="宋体" w:cs="Times New Roman"/>
                <w:sz w:val="24"/>
                <w:szCs w:val="24"/>
              </w:rPr>
              <w:t>代县</w:t>
            </w:r>
            <w:r>
              <w:rPr>
                <w:rFonts w:ascii="Times New Roman" w:hAnsi="Times New Roman" w:eastAsia="宋体" w:cs="Times New Roman"/>
                <w:color w:val="000000"/>
                <w:sz w:val="24"/>
                <w:szCs w:val="24"/>
              </w:rPr>
              <w:t>为非达标区，</w:t>
            </w:r>
            <w:r>
              <w:rPr>
                <w:rFonts w:ascii="Times New Roman" w:hAnsi="Times New Roman" w:cs="Times New Roman"/>
                <w:sz w:val="24"/>
                <w:szCs w:val="24"/>
              </w:rPr>
              <w:t>超标原因与冬季采暖和北方扬尘较多有关。</w:t>
            </w:r>
          </w:p>
          <w:p>
            <w:pPr>
              <w:spacing w:line="500" w:lineRule="exact"/>
              <w:ind w:firstLine="480" w:firstLineChars="200"/>
              <w:rPr>
                <w:rFonts w:ascii="Times New Roman" w:hAnsi="Times New Roman" w:eastAsia="宋体" w:cs="Times New Roman"/>
                <w:bCs/>
                <w:color w:val="000000" w:themeColor="text1"/>
                <w:sz w:val="24"/>
                <w:szCs w:val="24"/>
              </w:rPr>
            </w:pPr>
            <w:r>
              <w:rPr>
                <w:rFonts w:ascii="Times New Roman" w:hAnsi="Times New Roman" w:eastAsia="宋体" w:cs="Times New Roman"/>
                <w:bCs/>
                <w:color w:val="000000" w:themeColor="text1"/>
                <w:sz w:val="24"/>
                <w:szCs w:val="24"/>
              </w:rPr>
              <w:t>为了解项目所在地环境空气质量现状，</w:t>
            </w:r>
            <w:r>
              <w:rPr>
                <w:rFonts w:hint="eastAsia" w:ascii="Times New Roman" w:cs="Times New Roman"/>
                <w:sz w:val="24"/>
                <w:szCs w:val="24"/>
              </w:rPr>
              <w:t>企业委托山西昌兴同创安全技术服务有限公司</w:t>
            </w:r>
            <w:r>
              <w:rPr>
                <w:rFonts w:hint="eastAsia" w:ascii="Times New Roman" w:hAnsi="Times New Roman" w:cs="Times New Roman"/>
                <w:sz w:val="24"/>
                <w:szCs w:val="24"/>
              </w:rPr>
              <w:t>对项目</w:t>
            </w:r>
            <w:r>
              <w:rPr>
                <w:rFonts w:hint="eastAsia" w:ascii="Times New Roman" w:cs="Times New Roman"/>
                <w:sz w:val="24"/>
                <w:szCs w:val="24"/>
              </w:rPr>
              <w:t>环境空气质量进行监</w:t>
            </w:r>
            <w:r>
              <w:rPr>
                <w:rFonts w:hint="eastAsia" w:ascii="Times New Roman" w:hAnsi="Times New Roman" w:cs="Times New Roman"/>
                <w:bCs/>
                <w:sz w:val="24"/>
                <w:szCs w:val="24"/>
              </w:rPr>
              <w:t>测</w:t>
            </w:r>
            <w:r>
              <w:rPr>
                <w:rFonts w:ascii="Times New Roman" w:hAnsi="Times New Roman" w:cs="Times New Roman"/>
                <w:bCs/>
                <w:sz w:val="24"/>
                <w:szCs w:val="24"/>
              </w:rPr>
              <w:t>，根据监测结果，TSP</w:t>
            </w:r>
            <w:r>
              <w:rPr>
                <w:rFonts w:hint="eastAsia" w:ascii="Times New Roman" w:hAnsi="Times New Roman" w:cs="Times New Roman"/>
                <w:bCs/>
                <w:sz w:val="24"/>
                <w:szCs w:val="24"/>
              </w:rPr>
              <w:t>、PM10</w:t>
            </w:r>
            <w:r>
              <w:rPr>
                <w:rFonts w:ascii="Times New Roman" w:hAnsi="Times New Roman" w:cs="Times New Roman"/>
                <w:bCs/>
                <w:sz w:val="24"/>
                <w:szCs w:val="24"/>
              </w:rPr>
              <w:t>能够达到《环境空气质量标准》（GB3095-2012）二级标准要求。</w:t>
            </w:r>
          </w:p>
          <w:p>
            <w:pPr>
              <w:spacing w:line="500" w:lineRule="exact"/>
              <w:ind w:firstLine="480" w:firstLineChars="200"/>
              <w:rPr>
                <w:rFonts w:ascii="Times New Roman" w:hAnsi="Times New Roman" w:eastAsia="宋体" w:cs="Times New Roman"/>
                <w:bCs/>
                <w:color w:val="000000" w:themeColor="text1"/>
                <w:sz w:val="24"/>
                <w:szCs w:val="24"/>
              </w:rPr>
            </w:pPr>
            <w:r>
              <w:rPr>
                <w:rFonts w:ascii="Times New Roman" w:hAnsi="Times New Roman" w:eastAsia="宋体" w:cs="Times New Roman"/>
                <w:bCs/>
                <w:color w:val="000000" w:themeColor="text1"/>
                <w:sz w:val="24"/>
                <w:szCs w:val="24"/>
              </w:rPr>
              <w:t>（2）地表水质量现状</w:t>
            </w:r>
          </w:p>
          <w:p>
            <w:pPr>
              <w:spacing w:line="500" w:lineRule="exact"/>
              <w:ind w:firstLine="480" w:firstLineChars="200"/>
              <w:rPr>
                <w:rFonts w:ascii="Times New Roman" w:hAnsi="Times New Roman" w:cs="Times New Roman"/>
                <w:bCs/>
                <w:sz w:val="24"/>
                <w:szCs w:val="24"/>
              </w:rPr>
            </w:pPr>
            <w:r>
              <w:rPr>
                <w:rFonts w:ascii="Times New Roman" w:hAnsi="Times New Roman" w:cs="Times New Roman"/>
                <w:sz w:val="24"/>
                <w:szCs w:val="24"/>
              </w:rPr>
              <w:t>距离本项目最近的地表水体为滹沱河</w:t>
            </w:r>
            <w:r>
              <w:rPr>
                <w:rFonts w:hint="eastAsia" w:ascii="Times New Roman" w:hAnsi="Times New Roman" w:cs="Times New Roman"/>
                <w:sz w:val="24"/>
                <w:szCs w:val="24"/>
              </w:rPr>
              <w:t>，距离本项目西北侧约2670m</w:t>
            </w:r>
            <w:r>
              <w:rPr>
                <w:rFonts w:ascii="Times New Roman" w:hAnsi="Times New Roman" w:cs="Times New Roman"/>
                <w:sz w:val="24"/>
                <w:szCs w:val="24"/>
              </w:rPr>
              <w:t>。</w:t>
            </w:r>
            <w:r>
              <w:rPr>
                <w:rFonts w:hint="eastAsia" w:ascii="Times New Roman" w:hAnsi="Times New Roman" w:eastAsia="宋体" w:cs="Times New Roman"/>
                <w:bCs/>
                <w:sz w:val="24"/>
                <w:szCs w:val="24"/>
              </w:rPr>
              <w:t>项目所在地地表水属下茹越水库出口-济胜桥，监控断面为小寨，属于工业用水保护，执行《地表水环境质量标准》（GB3838-2002）中</w:t>
            </w:r>
            <w:r>
              <w:rPr>
                <w:rFonts w:ascii="Times New Roman" w:hAnsi="Times New Roman" w:eastAsia="宋体" w:cs="Times New Roman"/>
                <w:bCs/>
                <w:szCs w:val="21"/>
              </w:rPr>
              <w:t>Ⅳ</w:t>
            </w:r>
            <w:r>
              <w:rPr>
                <w:rFonts w:hint="eastAsia" w:ascii="Times New Roman" w:hAnsi="Times New Roman" w:eastAsia="宋体" w:cs="Times New Roman"/>
                <w:bCs/>
                <w:sz w:val="24"/>
                <w:szCs w:val="24"/>
              </w:rPr>
              <w:t>类水质标准</w:t>
            </w:r>
            <w:r>
              <w:rPr>
                <w:rFonts w:ascii="Times New Roman" w:hAnsi="Times New Roman" w:cs="Times New Roman"/>
                <w:bCs/>
                <w:sz w:val="24"/>
                <w:szCs w:val="24"/>
              </w:rPr>
              <w:t>。</w:t>
            </w:r>
          </w:p>
          <w:p>
            <w:pPr>
              <w:spacing w:line="500" w:lineRule="exact"/>
              <w:ind w:firstLine="480" w:firstLineChars="20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（3）声环境质量现状</w:t>
            </w:r>
          </w:p>
          <w:p>
            <w:pPr>
              <w:pStyle w:val="101"/>
              <w:spacing w:line="500" w:lineRule="exact"/>
              <w:ind w:firstLine="480"/>
              <w:rPr>
                <w:szCs w:val="24"/>
              </w:rPr>
            </w:pPr>
            <w:r>
              <w:rPr>
                <w:rFonts w:hint="eastAsia" w:eastAsiaTheme="minorEastAsia"/>
                <w:szCs w:val="24"/>
              </w:rPr>
              <w:t>企业</w:t>
            </w:r>
            <w:r>
              <w:rPr>
                <w:rFonts w:eastAsiaTheme="minorEastAsia"/>
                <w:szCs w:val="24"/>
              </w:rPr>
              <w:t>委托</w:t>
            </w:r>
            <w:r>
              <w:rPr>
                <w:rFonts w:hint="eastAsia" w:eastAsiaTheme="minorEastAsia"/>
                <w:szCs w:val="24"/>
              </w:rPr>
              <w:t>山西昌兴同创安全技术服务有限公司</w:t>
            </w:r>
            <w:r>
              <w:rPr>
                <w:rFonts w:eastAsiaTheme="minorEastAsia"/>
                <w:szCs w:val="24"/>
              </w:rPr>
              <w:t>于20</w:t>
            </w:r>
            <w:r>
              <w:rPr>
                <w:rFonts w:hint="eastAsia" w:eastAsiaTheme="minorEastAsia"/>
                <w:szCs w:val="24"/>
              </w:rPr>
              <w:t>20</w:t>
            </w:r>
            <w:r>
              <w:rPr>
                <w:rFonts w:eastAsiaTheme="minorEastAsia"/>
                <w:szCs w:val="24"/>
              </w:rPr>
              <w:t>年</w:t>
            </w:r>
            <w:r>
              <w:rPr>
                <w:rFonts w:hint="eastAsia" w:eastAsiaTheme="minorEastAsia"/>
                <w:szCs w:val="24"/>
              </w:rPr>
              <w:t>10</w:t>
            </w:r>
            <w:r>
              <w:rPr>
                <w:rFonts w:eastAsiaTheme="minorEastAsia"/>
                <w:szCs w:val="24"/>
              </w:rPr>
              <w:t>月</w:t>
            </w:r>
            <w:r>
              <w:rPr>
                <w:rFonts w:hint="eastAsia" w:eastAsiaTheme="minorEastAsia"/>
                <w:szCs w:val="24"/>
              </w:rPr>
              <w:t>2</w:t>
            </w:r>
            <w:r>
              <w:rPr>
                <w:rFonts w:eastAsiaTheme="minorEastAsia"/>
                <w:szCs w:val="24"/>
              </w:rPr>
              <w:t>日对声环境质量现状进行了监测</w:t>
            </w:r>
            <w:r>
              <w:rPr>
                <w:bCs/>
                <w:szCs w:val="24"/>
              </w:rPr>
              <w:t>，</w:t>
            </w:r>
            <w:r>
              <w:rPr>
                <w:szCs w:val="24"/>
              </w:rPr>
              <w:t>由监测结果可知，</w:t>
            </w:r>
            <w:r>
              <w:rPr>
                <w:rFonts w:eastAsiaTheme="minorEastAsia"/>
                <w:szCs w:val="24"/>
              </w:rPr>
              <w:t>厂界各厂界监测结果均满足《声环境质量标准》（GB3096-2008）中2类标准要求，</w:t>
            </w:r>
            <w:r>
              <w:rPr>
                <w:szCs w:val="24"/>
              </w:rPr>
              <w:t>表明该区域的声环境质量较好。</w:t>
            </w:r>
          </w:p>
          <w:p>
            <w:pPr>
              <w:spacing w:before="156" w:beforeLines="50" w:line="500" w:lineRule="exact"/>
              <w:ind w:firstLine="482" w:firstLineChars="200"/>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Pr>
                <w:rFonts w:ascii="Times New Roman" w:hAnsi="Times New Roman" w:cs="Times New Roman"/>
                <w:b/>
                <w:kern w:val="10"/>
                <w:sz w:val="24"/>
                <w:szCs w:val="24"/>
              </w:rPr>
              <w:t>主要</w:t>
            </w:r>
            <w:r>
              <w:rPr>
                <w:rFonts w:ascii="Times New Roman" w:hAnsi="Times New Roman" w:cs="Times New Roman"/>
                <w:b/>
                <w:kern w:val="0"/>
                <w:sz w:val="24"/>
                <w:szCs w:val="24"/>
              </w:rPr>
              <w:t>环境保护措施</w:t>
            </w:r>
            <w:r>
              <w:rPr>
                <w:rFonts w:ascii="Times New Roman" w:hAnsi="Times New Roman" w:cs="Times New Roman"/>
                <w:b/>
                <w:kern w:val="10"/>
                <w:sz w:val="24"/>
                <w:szCs w:val="24"/>
              </w:rPr>
              <w:t>及环境影响</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（1）废气</w:t>
            </w:r>
          </w:p>
          <w:p>
            <w:pPr>
              <w:spacing w:before="50" w:line="480" w:lineRule="exact"/>
              <w:ind w:firstLine="480" w:firstLineChars="200"/>
              <w:jc w:val="left"/>
              <w:rPr>
                <w:rFonts w:ascii="Times New Roman" w:hAnsi="Times New Roman" w:cs="Times New Roman"/>
                <w:bCs/>
                <w:sz w:val="24"/>
                <w:szCs w:val="24"/>
              </w:rPr>
            </w:pPr>
            <w:r>
              <w:rPr>
                <w:rFonts w:ascii="Calibri" w:hAnsi="Calibri" w:cs="Calibri"/>
                <w:bCs/>
                <w:sz w:val="24"/>
                <w:szCs w:val="24"/>
              </w:rPr>
              <w:t>①</w:t>
            </w:r>
            <w:r>
              <w:rPr>
                <w:rFonts w:ascii="Times New Roman" w:hAnsi="Times New Roman" w:cs="Times New Roman"/>
                <w:bCs/>
                <w:sz w:val="24"/>
                <w:szCs w:val="24"/>
              </w:rPr>
              <w:t>在</w:t>
            </w:r>
            <w:r>
              <w:rPr>
                <w:rFonts w:hint="eastAsia" w:ascii="Times New Roman" w:hAnsi="Times New Roman" w:cs="Times New Roman"/>
                <w:bCs/>
                <w:sz w:val="24"/>
                <w:szCs w:val="24"/>
                <w:lang w:eastAsia="zh-CN"/>
              </w:rPr>
              <w:t>进料机进料口、</w:t>
            </w:r>
            <w:r>
              <w:rPr>
                <w:rFonts w:hint="eastAsia" w:ascii="Times New Roman" w:hAnsi="Times New Roman" w:cs="Times New Roman"/>
                <w:bCs/>
                <w:sz w:val="24"/>
                <w:szCs w:val="24"/>
              </w:rPr>
              <w:t>颚式破碎机、锤式破碎机、振动筛</w:t>
            </w:r>
            <w:r>
              <w:rPr>
                <w:rFonts w:hint="eastAsia" w:ascii="Times New Roman" w:hAnsi="Times New Roman" w:cs="Times New Roman"/>
                <w:bCs/>
                <w:sz w:val="24"/>
                <w:szCs w:val="24"/>
                <w:lang w:eastAsia="zh-CN"/>
              </w:rPr>
              <w:t>产尘点</w:t>
            </w:r>
            <w:r>
              <w:rPr>
                <w:rFonts w:ascii="Times New Roman" w:hAnsi="Times New Roman" w:cs="Times New Roman"/>
                <w:bCs/>
                <w:sz w:val="24"/>
                <w:szCs w:val="24"/>
              </w:rPr>
              <w:t>设集尘罩，采用</w:t>
            </w:r>
            <w:r>
              <w:rPr>
                <w:rFonts w:hint="eastAsia" w:ascii="Times New Roman" w:hAnsi="Times New Roman" w:cs="Times New Roman"/>
                <w:bCs/>
                <w:sz w:val="24"/>
                <w:szCs w:val="24"/>
                <w:lang w:val="en-US" w:eastAsia="zh-CN"/>
              </w:rPr>
              <w:t>6</w:t>
            </w:r>
            <w:r>
              <w:rPr>
                <w:rFonts w:ascii="Times New Roman" w:hAnsi="Times New Roman" w:cs="Times New Roman"/>
                <w:bCs/>
                <w:sz w:val="24"/>
                <w:szCs w:val="24"/>
              </w:rPr>
              <w:t>个</w:t>
            </w:r>
            <w:r>
              <w:rPr>
                <w:rFonts w:hint="eastAsia" w:ascii="Times New Roman" w:hAnsi="Times New Roman" w:cs="Times New Roman"/>
                <w:bCs/>
                <w:sz w:val="24"/>
                <w:szCs w:val="24"/>
              </w:rPr>
              <w:t>伞形</w:t>
            </w:r>
            <w:r>
              <w:rPr>
                <w:rFonts w:ascii="Times New Roman" w:hAnsi="Times New Roman" w:cs="Times New Roman"/>
                <w:bCs/>
                <w:sz w:val="24"/>
                <w:szCs w:val="24"/>
              </w:rPr>
              <w:t>集尘罩+1套布袋除尘器（过滤风速0.</w:t>
            </w:r>
            <w:r>
              <w:rPr>
                <w:rFonts w:hint="eastAsia" w:ascii="Times New Roman" w:hAnsi="Times New Roman" w:cs="Times New Roman"/>
                <w:bCs/>
                <w:sz w:val="24"/>
                <w:szCs w:val="24"/>
                <w:lang w:val="en-US" w:eastAsia="zh-CN"/>
              </w:rPr>
              <w:t>6</w:t>
            </w:r>
            <w:r>
              <w:rPr>
                <w:rFonts w:ascii="Times New Roman" w:hAnsi="Times New Roman" w:cs="Times New Roman"/>
                <w:bCs/>
                <w:sz w:val="24"/>
                <w:szCs w:val="24"/>
              </w:rPr>
              <w:t>m/min，过滤面积</w:t>
            </w:r>
            <w:r>
              <w:rPr>
                <w:rFonts w:hint="eastAsia" w:ascii="Times New Roman" w:hAnsi="Times New Roman" w:cs="Times New Roman"/>
                <w:bCs/>
                <w:sz w:val="24"/>
                <w:szCs w:val="24"/>
                <w:lang w:val="en-US" w:eastAsia="zh-CN"/>
              </w:rPr>
              <w:t>850</w:t>
            </w:r>
            <w:r>
              <w:rPr>
                <w:rFonts w:ascii="Times New Roman" w:hAnsi="Times New Roman" w:cs="Times New Roman"/>
                <w:bCs/>
                <w:sz w:val="24"/>
                <w:szCs w:val="24"/>
              </w:rPr>
              <w:t>m</w:t>
            </w:r>
            <w:r>
              <w:rPr>
                <w:rFonts w:ascii="Times New Roman" w:hAnsi="Times New Roman" w:cs="Times New Roman"/>
                <w:bCs/>
                <w:sz w:val="24"/>
                <w:szCs w:val="24"/>
                <w:vertAlign w:val="superscript"/>
              </w:rPr>
              <w:t>2</w:t>
            </w:r>
            <w:r>
              <w:rPr>
                <w:rFonts w:ascii="Times New Roman" w:hAnsi="Times New Roman" w:cs="Times New Roman"/>
                <w:bCs/>
                <w:sz w:val="24"/>
                <w:szCs w:val="24"/>
              </w:rPr>
              <w:t>）进行处理，其集尘效率可达90%以上，风机风量为</w:t>
            </w:r>
            <w:r>
              <w:rPr>
                <w:rFonts w:hint="eastAsia" w:ascii="Times New Roman" w:hAnsi="Times New Roman" w:cs="Times New Roman"/>
                <w:bCs/>
                <w:sz w:val="24"/>
                <w:szCs w:val="24"/>
                <w:lang w:val="en-US" w:eastAsia="zh-CN"/>
              </w:rPr>
              <w:t>3</w:t>
            </w:r>
            <w:r>
              <w:rPr>
                <w:rFonts w:hint="eastAsia" w:ascii="Times New Roman" w:hAnsi="Times New Roman" w:cs="Times New Roman"/>
                <w:bCs/>
                <w:sz w:val="24"/>
                <w:szCs w:val="24"/>
              </w:rPr>
              <w:t>0</w:t>
            </w:r>
            <w:r>
              <w:rPr>
                <w:rFonts w:ascii="Times New Roman" w:hAnsi="Times New Roman" w:cs="Times New Roman"/>
                <w:bCs/>
                <w:sz w:val="24"/>
                <w:szCs w:val="24"/>
              </w:rPr>
              <w:t>000m</w:t>
            </w:r>
            <w:r>
              <w:rPr>
                <w:rFonts w:ascii="Times New Roman" w:hAnsi="Times New Roman" w:cs="Times New Roman"/>
                <w:bCs/>
                <w:sz w:val="24"/>
                <w:szCs w:val="24"/>
                <w:vertAlign w:val="superscript"/>
              </w:rPr>
              <w:t>3</w:t>
            </w:r>
            <w:r>
              <w:rPr>
                <w:rFonts w:ascii="Times New Roman" w:hAnsi="Times New Roman" w:cs="Times New Roman"/>
                <w:bCs/>
                <w:sz w:val="24"/>
                <w:szCs w:val="24"/>
              </w:rPr>
              <w:t>/h，经过类比分析，粉尘产生浓度为3000mg/m</w:t>
            </w:r>
            <w:r>
              <w:rPr>
                <w:rFonts w:ascii="Times New Roman" w:hAnsi="Times New Roman" w:cs="Times New Roman"/>
                <w:bCs/>
                <w:sz w:val="24"/>
                <w:szCs w:val="24"/>
                <w:vertAlign w:val="superscript"/>
              </w:rPr>
              <w:t>3</w:t>
            </w:r>
            <w:r>
              <w:rPr>
                <w:rFonts w:ascii="Times New Roman" w:hAnsi="Times New Roman" w:cs="Times New Roman"/>
                <w:bCs/>
                <w:sz w:val="24"/>
                <w:szCs w:val="24"/>
              </w:rPr>
              <w:t>。项目破碎工段年运行300天，每天工作8小时，粉尘的产生量为</w:t>
            </w:r>
            <w:r>
              <w:rPr>
                <w:rFonts w:hint="eastAsia" w:ascii="Times New Roman" w:hAnsi="Times New Roman" w:cs="Times New Roman"/>
                <w:bCs/>
                <w:sz w:val="24"/>
                <w:szCs w:val="24"/>
                <w:lang w:val="en-US" w:eastAsia="zh-CN"/>
              </w:rPr>
              <w:t>216</w:t>
            </w:r>
            <w:r>
              <w:rPr>
                <w:rFonts w:ascii="Times New Roman" w:hAnsi="Times New Roman" w:cs="Times New Roman"/>
                <w:bCs/>
                <w:sz w:val="24"/>
                <w:szCs w:val="24"/>
              </w:rPr>
              <w:t>t/a。经袋式除尘器处理后，除尘效率</w:t>
            </w:r>
            <w:r>
              <w:rPr>
                <w:rFonts w:hint="eastAsia" w:ascii="Times New Roman" w:hAnsi="Times New Roman" w:cs="Times New Roman"/>
                <w:bCs/>
                <w:sz w:val="24"/>
                <w:szCs w:val="24"/>
              </w:rPr>
              <w:t>可达99</w:t>
            </w:r>
            <w:r>
              <w:rPr>
                <w:rFonts w:ascii="Times New Roman" w:hAnsi="Times New Roman" w:cs="Times New Roman"/>
                <w:bCs/>
                <w:sz w:val="24"/>
                <w:szCs w:val="24"/>
              </w:rPr>
              <w:t>%，粉尘排放浓度为</w:t>
            </w:r>
            <w:r>
              <w:rPr>
                <w:rFonts w:hint="eastAsia" w:ascii="Times New Roman" w:hAnsi="Times New Roman" w:cs="Times New Roman"/>
                <w:bCs/>
                <w:sz w:val="24"/>
                <w:szCs w:val="24"/>
              </w:rPr>
              <w:t>20</w:t>
            </w:r>
            <w:r>
              <w:rPr>
                <w:rFonts w:ascii="Times New Roman" w:hAnsi="Times New Roman" w:cs="Times New Roman"/>
                <w:bCs/>
                <w:sz w:val="24"/>
                <w:szCs w:val="24"/>
              </w:rPr>
              <w:t>mg/m</w:t>
            </w:r>
            <w:r>
              <w:rPr>
                <w:rFonts w:ascii="Times New Roman" w:hAnsi="Times New Roman" w:cs="Times New Roman"/>
                <w:bCs/>
                <w:sz w:val="24"/>
                <w:szCs w:val="24"/>
                <w:vertAlign w:val="superscript"/>
              </w:rPr>
              <w:t>3</w:t>
            </w:r>
            <w:r>
              <w:rPr>
                <w:rFonts w:ascii="Times New Roman" w:hAnsi="Times New Roman" w:cs="Times New Roman"/>
                <w:bCs/>
                <w:sz w:val="24"/>
                <w:szCs w:val="24"/>
              </w:rPr>
              <w:t>，则粉尘有组织排放量为</w:t>
            </w:r>
            <w:r>
              <w:rPr>
                <w:rFonts w:hint="eastAsia" w:ascii="Times New Roman" w:hAnsi="Times New Roman" w:cs="Times New Roman"/>
                <w:bCs/>
                <w:sz w:val="24"/>
                <w:szCs w:val="24"/>
                <w:lang w:val="en-US" w:eastAsia="zh-CN"/>
              </w:rPr>
              <w:t>1.44</w:t>
            </w:r>
            <w:r>
              <w:rPr>
                <w:rFonts w:ascii="Times New Roman" w:hAnsi="Times New Roman" w:cs="Times New Roman"/>
                <w:bCs/>
                <w:sz w:val="24"/>
                <w:szCs w:val="24"/>
              </w:rPr>
              <w:t>t/a，废气通过15m高的排气筒外排</w:t>
            </w:r>
            <w:r>
              <w:rPr>
                <w:rFonts w:hint="eastAsia" w:ascii="Calibri" w:hAnsi="Calibri" w:cs="Calibri"/>
                <w:bCs/>
                <w:sz w:val="24"/>
                <w:szCs w:val="24"/>
              </w:rPr>
              <w:t>。并</w:t>
            </w:r>
            <w:r>
              <w:rPr>
                <w:rFonts w:ascii="Times New Roman" w:hAnsi="Times New Roman" w:cs="Times New Roman"/>
                <w:sz w:val="24"/>
                <w:szCs w:val="24"/>
              </w:rPr>
              <w:t>将生产线置于封闭车间内</w:t>
            </w:r>
            <w:r>
              <w:rPr>
                <w:rFonts w:hint="eastAsia" w:ascii="Times New Roman" w:hAnsi="Times New Roman" w:cs="Times New Roman"/>
                <w:sz w:val="24"/>
                <w:szCs w:val="24"/>
                <w:lang w:eastAsia="zh-CN"/>
              </w:rPr>
              <w:t>，门口设自动门</w:t>
            </w:r>
            <w:r>
              <w:rPr>
                <w:rFonts w:ascii="Times New Roman" w:hAnsi="Times New Roman" w:cs="Times New Roman"/>
                <w:sz w:val="24"/>
                <w:szCs w:val="24"/>
              </w:rPr>
              <w:t>，可降尘9</w:t>
            </w:r>
            <w:r>
              <w:rPr>
                <w:rFonts w:hint="eastAsia" w:ascii="Times New Roman" w:hAnsi="Times New Roman" w:cs="Times New Roman"/>
                <w:sz w:val="24"/>
                <w:szCs w:val="24"/>
              </w:rPr>
              <w:t>9</w:t>
            </w:r>
            <w:r>
              <w:rPr>
                <w:rFonts w:ascii="Times New Roman" w:hAnsi="Times New Roman" w:cs="Times New Roman"/>
                <w:sz w:val="24"/>
                <w:szCs w:val="24"/>
              </w:rPr>
              <w:t>%以上，因此无组织产生量为</w:t>
            </w:r>
            <w:r>
              <w:rPr>
                <w:rFonts w:hint="eastAsia" w:ascii="Times New Roman" w:hAnsi="Times New Roman" w:cs="Times New Roman"/>
                <w:sz w:val="24"/>
                <w:szCs w:val="24"/>
                <w:lang w:val="en-US" w:eastAsia="zh-CN"/>
              </w:rPr>
              <w:t>24</w:t>
            </w:r>
            <w:r>
              <w:rPr>
                <w:rFonts w:ascii="Times New Roman" w:hAnsi="Times New Roman" w:cs="Times New Roman"/>
                <w:sz w:val="24"/>
                <w:szCs w:val="24"/>
              </w:rPr>
              <w:t>t/a，排放量为</w:t>
            </w:r>
            <w:r>
              <w:rPr>
                <w:rFonts w:hint="eastAsia" w:ascii="Times New Roman" w:hAnsi="Times New Roman" w:cs="Times New Roman"/>
                <w:sz w:val="24"/>
                <w:szCs w:val="24"/>
              </w:rPr>
              <w:t>0.</w:t>
            </w:r>
            <w:r>
              <w:rPr>
                <w:rFonts w:hint="eastAsia" w:ascii="Times New Roman" w:hAnsi="Times New Roman" w:cs="Times New Roman"/>
                <w:sz w:val="24"/>
                <w:szCs w:val="24"/>
                <w:lang w:val="en-US" w:eastAsia="zh-CN"/>
              </w:rPr>
              <w:t>24</w:t>
            </w:r>
            <w:r>
              <w:rPr>
                <w:rFonts w:ascii="Times New Roman" w:hAnsi="Times New Roman" w:cs="Times New Roman"/>
                <w:sz w:val="24"/>
                <w:szCs w:val="24"/>
              </w:rPr>
              <w:t>t/a。</w:t>
            </w:r>
            <w:r>
              <w:rPr>
                <w:rFonts w:ascii="Calibri" w:hAnsi="Calibri" w:cs="Calibri"/>
                <w:bCs/>
                <w:sz w:val="24"/>
                <w:szCs w:val="24"/>
              </w:rPr>
              <w:t>②</w:t>
            </w:r>
            <w:r>
              <w:rPr>
                <w:rFonts w:ascii="Times New Roman" w:hAnsi="Times New Roman" w:cs="Times New Roman"/>
                <w:spacing w:val="4"/>
                <w:sz w:val="24"/>
                <w:szCs w:val="24"/>
              </w:rPr>
              <w:t>原料及产品在运输、装卸过程中，配备移动式</w:t>
            </w:r>
            <w:r>
              <w:rPr>
                <w:rFonts w:ascii="Times New Roman" w:hAnsi="Times New Roman" w:cs="Times New Roman"/>
                <w:sz w:val="24"/>
                <w:szCs w:val="24"/>
              </w:rPr>
              <w:t>洒水机进行洒水抑尘，</w:t>
            </w:r>
            <w:r>
              <w:rPr>
                <w:rFonts w:ascii="Times New Roman" w:hAnsi="Times New Roman" w:cs="Times New Roman"/>
                <w:spacing w:val="4"/>
                <w:sz w:val="24"/>
                <w:szCs w:val="24"/>
              </w:rPr>
              <w:t>限制汽车超载超速、运输车辆加盖篷布、运输汽车出场前对轮胎、清洗车体并及时清扫路面、道路硬化，厂区与主干道公路连接的道路要经常清扫和洒水，保持路面清洁和相对湿度。运输扬尘产生量为0.</w:t>
            </w:r>
            <w:r>
              <w:rPr>
                <w:rFonts w:hint="eastAsia" w:ascii="Times New Roman" w:hAnsi="Times New Roman" w:cs="Times New Roman"/>
                <w:spacing w:val="4"/>
                <w:sz w:val="24"/>
                <w:szCs w:val="24"/>
              </w:rPr>
              <w:t>35</w:t>
            </w:r>
            <w:r>
              <w:rPr>
                <w:rFonts w:ascii="Times New Roman" w:hAnsi="Times New Roman" w:cs="Times New Roman"/>
                <w:spacing w:val="4"/>
                <w:sz w:val="24"/>
                <w:szCs w:val="24"/>
              </w:rPr>
              <w:t>t/a，采取环评要求的措施后，可抑尘80%，道路扬尘排放量为0.</w:t>
            </w:r>
            <w:r>
              <w:rPr>
                <w:rFonts w:hint="eastAsia" w:ascii="Times New Roman" w:hAnsi="Times New Roman" w:cs="Times New Roman"/>
                <w:spacing w:val="4"/>
                <w:sz w:val="24"/>
                <w:szCs w:val="24"/>
              </w:rPr>
              <w:t>07</w:t>
            </w:r>
            <w:r>
              <w:rPr>
                <w:rFonts w:ascii="Times New Roman" w:hAnsi="Times New Roman" w:cs="Times New Roman"/>
                <w:spacing w:val="4"/>
                <w:sz w:val="24"/>
                <w:szCs w:val="24"/>
              </w:rPr>
              <w:t>t/a。③物料在原料库、成品库装卸产生</w:t>
            </w:r>
            <w:r>
              <w:rPr>
                <w:rFonts w:hint="eastAsia" w:ascii="Times New Roman" w:hAnsi="Times New Roman" w:cs="Times New Roman"/>
                <w:spacing w:val="4"/>
                <w:sz w:val="24"/>
                <w:szCs w:val="24"/>
                <w:lang w:eastAsia="zh-CN"/>
              </w:rPr>
              <w:t>的</w:t>
            </w:r>
            <w:r>
              <w:rPr>
                <w:rFonts w:ascii="Times New Roman" w:hAnsi="Times New Roman" w:cs="Times New Roman"/>
                <w:spacing w:val="4"/>
                <w:sz w:val="24"/>
                <w:szCs w:val="24"/>
              </w:rPr>
              <w:t>粉尘</w:t>
            </w:r>
            <w:r>
              <w:rPr>
                <w:rFonts w:hint="eastAsia" w:ascii="Times New Roman" w:hAnsi="Times New Roman" w:cs="Times New Roman"/>
                <w:spacing w:val="4"/>
                <w:sz w:val="24"/>
                <w:szCs w:val="24"/>
                <w:lang w:eastAsia="zh-CN"/>
              </w:rPr>
              <w:t>，</w:t>
            </w:r>
            <w:r>
              <w:rPr>
                <w:rFonts w:ascii="Times New Roman" w:hAnsi="Times New Roman" w:cs="Times New Roman"/>
                <w:spacing w:val="4"/>
                <w:sz w:val="24"/>
                <w:szCs w:val="24"/>
              </w:rPr>
              <w:t>通过全封闭厂房并设置雾炮机进行降尘。</w:t>
            </w:r>
          </w:p>
          <w:p>
            <w:pPr>
              <w:pStyle w:val="2"/>
              <w:snapToGrid w:val="0"/>
              <w:spacing w:line="500" w:lineRule="exact"/>
              <w:ind w:firstLine="480" w:firstLineChars="200"/>
              <w:rPr>
                <w:rFonts w:ascii="Times New Roman" w:cs="Times New Roman" w:eastAsiaTheme="minorEastAsia"/>
                <w:bCs/>
                <w:color w:val="auto"/>
              </w:rPr>
            </w:pPr>
            <w:r>
              <w:rPr>
                <w:rFonts w:ascii="Times New Roman" w:cs="Times New Roman" w:eastAsiaTheme="minorEastAsia"/>
                <w:bCs/>
                <w:color w:val="auto"/>
              </w:rPr>
              <w:t>采取以上措施后，经估算预测，各源强正常排放下</w:t>
            </w:r>
            <w:r>
              <w:rPr>
                <w:rFonts w:hint="eastAsia" w:ascii="Times New Roman" w:cs="Times New Roman" w:eastAsiaTheme="minorEastAsia"/>
                <w:bCs/>
                <w:color w:val="auto"/>
              </w:rPr>
              <w:t>TSP、</w:t>
            </w:r>
            <w:r>
              <w:rPr>
                <w:rFonts w:ascii="Times New Roman" w:cs="Times New Roman" w:eastAsiaTheme="minorEastAsia"/>
                <w:bCs/>
                <w:color w:val="auto"/>
              </w:rPr>
              <w:t>PM</w:t>
            </w:r>
            <w:r>
              <w:rPr>
                <w:rFonts w:ascii="Times New Roman" w:cs="Times New Roman" w:eastAsiaTheme="minorEastAsia"/>
                <w:bCs/>
                <w:color w:val="auto"/>
                <w:vertAlign w:val="subscript"/>
              </w:rPr>
              <w:t>10</w:t>
            </w:r>
            <w:r>
              <w:rPr>
                <w:rFonts w:ascii="Times New Roman" w:cs="Times New Roman" w:eastAsiaTheme="minorEastAsia"/>
                <w:bCs/>
                <w:color w:val="auto"/>
              </w:rPr>
              <w:t xml:space="preserve">短期浓度贡献值的最大浓度占标率均小于10%，因此，本项目建成后，大气环境影响可接受。 </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（2）废水</w:t>
            </w:r>
          </w:p>
          <w:p>
            <w:pPr>
              <w:spacing w:line="5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生活污水仅为洗漱废水，水质简单，</w:t>
            </w:r>
            <w:r>
              <w:rPr>
                <w:rFonts w:ascii="Times New Roman" w:hAnsi="Times New Roman" w:cs="Times New Roman"/>
                <w:sz w:val="24"/>
                <w:szCs w:val="24"/>
              </w:rPr>
              <w:t>用于厂区道路洒水抑尘，</w:t>
            </w:r>
            <w:r>
              <w:rPr>
                <w:rFonts w:ascii="Times New Roman" w:hAnsi="Times New Roman" w:cs="Times New Roman"/>
                <w:color w:val="000000" w:themeColor="text1"/>
                <w:sz w:val="24"/>
                <w:szCs w:val="24"/>
              </w:rPr>
              <w:t>不外排；</w:t>
            </w:r>
            <w:r>
              <w:rPr>
                <w:rFonts w:ascii="Times New Roman" w:hAnsi="Times New Roman" w:cs="Times New Roman"/>
                <w:bCs/>
                <w:sz w:val="24"/>
                <w:szCs w:val="24"/>
              </w:rPr>
              <w:t>车辆清洗废水循环使用；</w:t>
            </w:r>
            <w:r>
              <w:rPr>
                <w:rFonts w:hint="eastAsia" w:ascii="Times New Roman" w:hAnsi="Times New Roman" w:cs="Times New Roman"/>
                <w:bCs/>
                <w:sz w:val="24"/>
                <w:szCs w:val="24"/>
              </w:rPr>
              <w:t>初期雨水收集利用</w:t>
            </w:r>
            <w:r>
              <w:rPr>
                <w:rFonts w:ascii="Times New Roman" w:hAnsi="Times New Roman" w:cs="Times New Roman"/>
                <w:bCs/>
                <w:sz w:val="24"/>
                <w:szCs w:val="24"/>
              </w:rPr>
              <w:t>。项目无废水外排，不会对</w:t>
            </w:r>
            <w:r>
              <w:rPr>
                <w:rFonts w:ascii="Times New Roman" w:hAnsi="Times New Roman" w:cs="Times New Roman"/>
                <w:color w:val="000000" w:themeColor="text1"/>
                <w:sz w:val="24"/>
                <w:szCs w:val="24"/>
              </w:rPr>
              <w:t>周围地表水产生影响。</w:t>
            </w:r>
          </w:p>
          <w:p>
            <w:pPr>
              <w:adjustRightInd w:val="0"/>
              <w:snapToGrid w:val="0"/>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（3）噪声</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本工程生产营运期间主要的噪声源有</w:t>
            </w:r>
            <w:r>
              <w:rPr>
                <w:rFonts w:hint="eastAsia" w:ascii="Times New Roman" w:hAnsi="Times New Roman" w:cs="Times New Roman"/>
                <w:color w:val="000000" w:themeColor="text1"/>
                <w:sz w:val="24"/>
                <w:szCs w:val="24"/>
              </w:rPr>
              <w:t>生产设备、输送设备、除尘风机、泵类、运输车辆</w:t>
            </w:r>
            <w:r>
              <w:rPr>
                <w:rFonts w:ascii="Times New Roman" w:hAnsi="Times New Roman" w:cs="Times New Roman"/>
                <w:bCs/>
                <w:sz w:val="24"/>
                <w:szCs w:val="24"/>
              </w:rPr>
              <w:t>等</w:t>
            </w:r>
            <w:r>
              <w:rPr>
                <w:rFonts w:ascii="Times New Roman" w:hAnsi="Times New Roman" w:cs="Times New Roman"/>
                <w:bCs/>
                <w:kern w:val="0"/>
                <w:sz w:val="24"/>
                <w:szCs w:val="24"/>
              </w:rPr>
              <w:t>设备运行过程产生的噪音</w:t>
            </w:r>
            <w:r>
              <w:rPr>
                <w:rFonts w:ascii="Times New Roman" w:hAnsi="Times New Roman" w:cs="Times New Roman"/>
                <w:sz w:val="24"/>
                <w:szCs w:val="24"/>
              </w:rPr>
              <w:t>，这些设备在运行过程中会产生较大的机械性噪声。</w:t>
            </w:r>
          </w:p>
          <w:p>
            <w:pPr>
              <w:autoSpaceDE w:val="0"/>
              <w:autoSpaceDN w:val="0"/>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通过选用低噪声设备，基础减震，布置于室内等措施后，厂界噪声排放达到《工业企业厂界环境噪声排放标准》(GB12348-2008)中2类标准要求。</w:t>
            </w:r>
          </w:p>
          <w:p>
            <w:pPr>
              <w:spacing w:line="5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（4）固废</w:t>
            </w:r>
          </w:p>
          <w:p>
            <w:pPr>
              <w:autoSpaceDE w:val="0"/>
              <w:autoSpaceDN w:val="0"/>
              <w:adjustRightInd w:val="0"/>
              <w:snapToGrid w:val="0"/>
              <w:spacing w:line="500" w:lineRule="exact"/>
              <w:ind w:firstLine="480" w:firstLineChars="200"/>
              <w:rPr>
                <w:rFonts w:ascii="Times New Roman" w:hAnsi="Times New Roman" w:cs="Times New Roman"/>
                <w:sz w:val="24"/>
                <w:szCs w:val="24"/>
              </w:rPr>
            </w:pPr>
            <w:r>
              <w:rPr>
                <w:rFonts w:hint="eastAsia" w:ascii="Times New Roman" w:hAnsi="Times New Roman" w:eastAsia="宋体" w:cs="Times New Roman"/>
                <w:sz w:val="24"/>
                <w:szCs w:val="24"/>
              </w:rPr>
              <w:t>除尘灰</w:t>
            </w:r>
            <w:r>
              <w:rPr>
                <w:rFonts w:hint="eastAsia" w:ascii="Times New Roman" w:hAnsi="Times New Roman" w:eastAsia="宋体" w:cs="Times New Roman"/>
                <w:color w:val="000000" w:themeColor="text1"/>
                <w:sz w:val="24"/>
                <w:szCs w:val="24"/>
              </w:rPr>
              <w:t>外售综合利用；</w:t>
            </w:r>
            <w:r>
              <w:rPr>
                <w:rFonts w:hint="eastAsia" w:ascii="Times New Roman" w:hAnsi="Times New Roman" w:cs="Times New Roman"/>
                <w:sz w:val="24"/>
                <w:szCs w:val="24"/>
              </w:rPr>
              <w:t>危废（废机油）暂存于危废间，定期由有资质的单位处置；生活垃圾</w:t>
            </w:r>
            <w:r>
              <w:rPr>
                <w:rFonts w:ascii="Times New Roman" w:hAnsi="Times New Roman" w:eastAsia="宋体" w:cs="Times New Roman"/>
                <w:color w:val="000000" w:themeColor="text1"/>
                <w:sz w:val="24"/>
                <w:szCs w:val="24"/>
              </w:rPr>
              <w:t>集中收集后置于当地环卫部门指定地点，由</w:t>
            </w:r>
            <w:r>
              <w:rPr>
                <w:rFonts w:ascii="Times New Roman" w:hAnsi="Times New Roman" w:cs="Times New Roman"/>
                <w:sz w:val="24"/>
                <w:szCs w:val="24"/>
              </w:rPr>
              <w:t>当地</w:t>
            </w:r>
            <w:r>
              <w:rPr>
                <w:rFonts w:ascii="Times New Roman" w:hAnsi="Times New Roman" w:eastAsia="宋体" w:cs="Times New Roman"/>
                <w:color w:val="000000" w:themeColor="text1"/>
                <w:sz w:val="24"/>
                <w:szCs w:val="24"/>
              </w:rPr>
              <w:t>环卫部门统一处理。</w:t>
            </w:r>
          </w:p>
          <w:p>
            <w:pPr>
              <w:spacing w:before="156" w:beforeLines="50" w:line="500" w:lineRule="exact"/>
              <w:ind w:firstLine="482" w:firstLineChars="200"/>
              <w:jc w:val="left"/>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5、</w:t>
            </w:r>
            <w:r>
              <w:rPr>
                <w:rFonts w:ascii="Times New Roman" w:hAnsi="Times New Roman" w:eastAsia="宋体" w:cs="Times New Roman"/>
                <w:b/>
                <w:color w:val="000000" w:themeColor="text1"/>
                <w:sz w:val="24"/>
              </w:rPr>
              <w:t>环境保护管理与监测计划</w:t>
            </w:r>
          </w:p>
          <w:p>
            <w:pPr>
              <w:adjustRightInd w:val="0"/>
              <w:spacing w:line="500" w:lineRule="exact"/>
              <w:ind w:firstLine="480" w:firstLineChars="200"/>
              <w:rPr>
                <w:rFonts w:ascii="Times New Roman" w:hAnsi="Times New Roman" w:eastAsia="宋体" w:cs="Times New Roman"/>
                <w:color w:val="000000" w:themeColor="text1"/>
                <w:kern w:val="10"/>
                <w:sz w:val="24"/>
                <w:szCs w:val="24"/>
              </w:rPr>
            </w:pPr>
            <w:r>
              <w:rPr>
                <w:rFonts w:ascii="Times New Roman" w:hAnsi="Times New Roman" w:eastAsia="宋体" w:cs="Times New Roman"/>
                <w:color w:val="000000" w:themeColor="text1"/>
                <w:sz w:val="24"/>
                <w:szCs w:val="24"/>
              </w:rPr>
              <w:t>本项目应严格按照环评报告的要求认真落实环保措施，明确职责，专人管理，切实搞好环境管理和监测工作，保障环保设施的正常运行。</w:t>
            </w:r>
          </w:p>
          <w:p>
            <w:pPr>
              <w:spacing w:line="48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综上所述，</w:t>
            </w:r>
            <w:r>
              <w:rPr>
                <w:rFonts w:hint="eastAsia" w:ascii="Times New Roman" w:hAnsi="Times New Roman" w:eastAsia="宋体" w:cs="Times New Roman"/>
                <w:b/>
                <w:color w:val="000000" w:themeColor="text1"/>
                <w:sz w:val="24"/>
                <w:szCs w:val="24"/>
              </w:rPr>
              <w:t>鑫路通石料厂利用尾矿废石年产10万吨机制石料项目</w:t>
            </w:r>
            <w:r>
              <w:rPr>
                <w:rFonts w:ascii="Times New Roman" w:hAnsi="Times New Roman" w:eastAsia="宋体" w:cs="Times New Roman"/>
                <w:b/>
                <w:color w:val="000000" w:themeColor="text1"/>
                <w:sz w:val="24"/>
                <w:szCs w:val="24"/>
              </w:rPr>
              <w:t>符合产业政策，项目选址不涉及环境敏感区；在采取各项环保措施后各污染物可达标排放，对周围环境影响较小。因此，从环保角度评价，本项目的建设是可行的。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2" w:type="dxa"/>
          <w:trHeight w:val="925" w:hRule="atLeast"/>
          <w:jc w:val="center"/>
        </w:trPr>
        <w:tc>
          <w:tcPr>
            <w:tcW w:w="9234" w:type="dxa"/>
            <w:tcBorders>
              <w:top w:val="single" w:color="auto" w:sz="6" w:space="0"/>
              <w:left w:val="single" w:color="auto" w:sz="12" w:space="0"/>
              <w:bottom w:val="single" w:color="auto" w:sz="6" w:space="0"/>
              <w:right w:val="single" w:color="auto" w:sz="12" w:space="0"/>
            </w:tcBorders>
          </w:tcPr>
          <w:p>
            <w:pPr>
              <w:spacing w:before="156" w:beforeLines="50" w:after="156" w:afterLines="50" w:line="480" w:lineRule="exact"/>
              <w:rPr>
                <w:rFonts w:ascii="Times New Roman" w:hAnsi="Times New Roman" w:eastAsia="黑体" w:cs="Times New Roman"/>
                <w:bCs/>
                <w:color w:val="000000" w:themeColor="text1"/>
                <w:sz w:val="28"/>
                <w:szCs w:val="28"/>
              </w:rPr>
            </w:pPr>
            <w:r>
              <w:rPr>
                <w:rFonts w:ascii="Times New Roman" w:hAnsi="Times New Roman" w:eastAsia="黑体" w:cs="Times New Roman"/>
                <w:bCs/>
                <w:color w:val="000000" w:themeColor="text1"/>
                <w:sz w:val="28"/>
                <w:szCs w:val="28"/>
              </w:rPr>
              <w:t>建议：</w:t>
            </w:r>
          </w:p>
          <w:p>
            <w:pPr>
              <w:spacing w:before="50" w:line="480" w:lineRule="exact"/>
              <w:ind w:firstLine="480" w:firstLineChars="200"/>
              <w:rPr>
                <w:rFonts w:ascii="Times New Roman" w:hAnsi="Times New Roman" w:eastAsia="宋体" w:cs="Times New Roman"/>
                <w:bCs/>
                <w:color w:val="000000" w:themeColor="text1"/>
                <w:sz w:val="24"/>
                <w:szCs w:val="24"/>
              </w:rPr>
            </w:pPr>
            <w:r>
              <w:rPr>
                <w:rFonts w:ascii="Times New Roman" w:hAnsi="Times New Roman" w:eastAsia="宋体" w:cs="Times New Roman"/>
                <w:bCs/>
                <w:color w:val="000000" w:themeColor="text1"/>
                <w:sz w:val="24"/>
                <w:szCs w:val="24"/>
              </w:rPr>
              <w:t>1）加强设施管理，加强设施维修，保证设施运行完好。</w:t>
            </w:r>
          </w:p>
          <w:p>
            <w:pPr>
              <w:spacing w:before="50" w:line="480" w:lineRule="exact"/>
              <w:ind w:firstLine="480" w:firstLineChars="200"/>
              <w:rPr>
                <w:rFonts w:ascii="Times New Roman" w:hAnsi="Times New Roman" w:eastAsia="宋体" w:cs="Times New Roman"/>
                <w:bCs/>
                <w:color w:val="000000" w:themeColor="text1"/>
                <w:sz w:val="24"/>
                <w:szCs w:val="24"/>
              </w:rPr>
            </w:pPr>
            <w:r>
              <w:rPr>
                <w:rFonts w:ascii="Times New Roman" w:hAnsi="Times New Roman" w:eastAsia="宋体" w:cs="Times New Roman"/>
                <w:bCs/>
                <w:color w:val="000000" w:themeColor="text1"/>
                <w:sz w:val="24"/>
                <w:szCs w:val="24"/>
              </w:rPr>
              <w:t>2）加强厂区绿化建设，美化环境，降噪减污。</w:t>
            </w:r>
          </w:p>
          <w:p>
            <w:pPr>
              <w:spacing w:before="50" w:line="480" w:lineRule="exact"/>
              <w:ind w:firstLine="480" w:firstLineChars="200"/>
              <w:rPr>
                <w:rFonts w:ascii="Times New Roman" w:hAnsi="Times New Roman" w:eastAsia="宋体" w:cs="Times New Roman"/>
                <w:bCs/>
                <w:color w:val="000000" w:themeColor="text1"/>
                <w:sz w:val="24"/>
                <w:szCs w:val="24"/>
              </w:rPr>
            </w:pPr>
            <w:r>
              <w:rPr>
                <w:rFonts w:ascii="Times New Roman" w:hAnsi="Times New Roman" w:eastAsia="宋体" w:cs="Times New Roman"/>
                <w:bCs/>
                <w:color w:val="000000" w:themeColor="text1"/>
                <w:sz w:val="24"/>
                <w:szCs w:val="24"/>
              </w:rPr>
              <w:t>3）加强环境教育，增强环境意识，建议本厂专门设环保人员，落实全厂的环保工作，认真执行环保相关的法律法规，并与环保部门及时联系和沟通</w:t>
            </w:r>
            <w:r>
              <w:rPr>
                <w:rFonts w:hint="eastAsia" w:ascii="Times New Roman" w:hAnsi="Times New Roman" w:eastAsia="宋体" w:cs="Times New Roman"/>
                <w:bCs/>
                <w:color w:val="000000" w:themeColor="text1"/>
                <w:sz w:val="24"/>
                <w:szCs w:val="24"/>
              </w:rPr>
              <w:t>。</w:t>
            </w: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spacing w:before="50" w:line="480" w:lineRule="exact"/>
              <w:ind w:firstLine="480" w:firstLineChars="200"/>
              <w:rPr>
                <w:rFonts w:ascii="Times New Roman" w:hAnsi="Times New Roman" w:eastAsia="宋体" w:cs="Times New Roman"/>
                <w:bCs/>
                <w:color w:val="000000" w:themeColor="text1"/>
                <w:sz w:val="24"/>
                <w:szCs w:val="24"/>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hint="eastAsia" w:ascii="Times New Roman" w:cs="Times New Roman"/>
                <w:lang w:val="en-US" w:eastAsia="zh-CN"/>
              </w:rPr>
            </w:pPr>
          </w:p>
          <w:p>
            <w:pPr>
              <w:pStyle w:val="2"/>
              <w:rPr>
                <w:rFonts w:hint="eastAsia" w:ascii="Times New Roman" w:cs="Times New Roman"/>
                <w:lang w:val="en-US" w:eastAsia="zh-CN"/>
              </w:rPr>
            </w:pPr>
          </w:p>
          <w:p>
            <w:pPr>
              <w:pStyle w:val="2"/>
              <w:rPr>
                <w:rFonts w:hint="eastAsia" w:ascii="Times New Roman" w:cs="Times New Roman"/>
                <w:lang w:val="en-US" w:eastAsia="zh-CN"/>
              </w:rPr>
            </w:pPr>
          </w:p>
          <w:p>
            <w:pPr>
              <w:pStyle w:val="2"/>
              <w:rPr>
                <w:rFonts w:hint="eastAsia" w:ascii="Times New Roman" w:cs="Times New Roman"/>
                <w:lang w:val="en-US" w:eastAsia="zh-CN"/>
              </w:rPr>
            </w:pPr>
          </w:p>
          <w:p>
            <w:pPr>
              <w:pStyle w:val="2"/>
              <w:rPr>
                <w:rFonts w:hint="eastAsia" w:ascii="Times New Roman" w:eastAsia="微软雅黑" w:cs="Times New Roman"/>
                <w:lang w:val="en-US" w:eastAsia="zh-CN"/>
              </w:rPr>
            </w:pPr>
          </w:p>
          <w:p>
            <w:pPr>
              <w:pStyle w:val="2"/>
              <w:rPr>
                <w:rFonts w:ascii="Times New Roman" w:cs="Times New Roman"/>
              </w:rPr>
            </w:pPr>
          </w:p>
          <w:p>
            <w:pPr>
              <w:pStyle w:val="2"/>
              <w:rPr>
                <w:rFonts w:asci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2" w:hRule="atLeast"/>
          <w:jc w:val="center"/>
        </w:trPr>
        <w:tc>
          <w:tcPr>
            <w:tcW w:w="9286" w:type="dxa"/>
            <w:gridSpan w:val="2"/>
            <w:tcBorders>
              <w:top w:val="single" w:color="auto" w:sz="6" w:space="0"/>
              <w:left w:val="single" w:color="auto" w:sz="12" w:space="0"/>
              <w:bottom w:val="single" w:color="auto" w:sz="6" w:space="0"/>
              <w:right w:val="single" w:color="auto" w:sz="12" w:space="0"/>
            </w:tcBorders>
          </w:tcPr>
          <w:p>
            <w:pPr>
              <w:spacing w:before="78" w:beforeLines="25" w:line="520" w:lineRule="exact"/>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预审意见:</w:t>
            </w: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ind w:firstLine="5301" w:firstLineChars="1650"/>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公章</w:t>
            </w:r>
          </w:p>
          <w:p>
            <w:pPr>
              <w:spacing w:before="78" w:beforeLines="25" w:line="520" w:lineRule="exact"/>
              <w:ind w:firstLine="5140" w:firstLineChars="1600"/>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0" w:hRule="atLeast"/>
          <w:jc w:val="center"/>
        </w:trPr>
        <w:tc>
          <w:tcPr>
            <w:tcW w:w="9286" w:type="dxa"/>
            <w:gridSpan w:val="2"/>
            <w:tcBorders>
              <w:top w:val="single" w:color="auto" w:sz="6" w:space="0"/>
              <w:left w:val="single" w:color="auto" w:sz="12" w:space="0"/>
              <w:bottom w:val="single" w:color="auto" w:sz="6" w:space="0"/>
              <w:right w:val="single" w:color="auto" w:sz="12" w:space="0"/>
            </w:tcBorders>
          </w:tcPr>
          <w:p>
            <w:pPr>
              <w:spacing w:before="78" w:beforeLines="25" w:line="520" w:lineRule="exact"/>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下一级环境保护行政主管部门审查意见：</w:t>
            </w: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pStyle w:val="2"/>
              <w:rPr>
                <w:rFonts w:ascii="Times New Roman" w:cs="Times New Roman"/>
              </w:rPr>
            </w:pPr>
          </w:p>
          <w:p>
            <w:pPr>
              <w:pStyle w:val="2"/>
              <w:rPr>
                <w:rFonts w:ascii="Times New Roman" w:cs="Times New Roman"/>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ind w:right="640" w:firstLine="5622" w:firstLineChars="1750"/>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公章</w:t>
            </w:r>
          </w:p>
          <w:p>
            <w:pPr>
              <w:spacing w:before="78" w:beforeLines="25" w:line="520" w:lineRule="exact"/>
              <w:ind w:right="320"/>
              <w:jc w:val="right"/>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89" w:hRule="atLeast"/>
          <w:jc w:val="center"/>
        </w:trPr>
        <w:tc>
          <w:tcPr>
            <w:tcW w:w="9286" w:type="dxa"/>
            <w:gridSpan w:val="2"/>
            <w:tcBorders>
              <w:top w:val="single" w:color="auto" w:sz="6" w:space="0"/>
              <w:left w:val="single" w:color="auto" w:sz="12" w:space="0"/>
              <w:bottom w:val="single" w:color="auto" w:sz="6" w:space="0"/>
              <w:right w:val="single" w:color="auto" w:sz="12" w:space="0"/>
            </w:tcBorders>
          </w:tcPr>
          <w:p>
            <w:pPr>
              <w:spacing w:before="78" w:beforeLines="25" w:line="520" w:lineRule="exact"/>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审批意见：</w:t>
            </w: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rPr>
                <w:rFonts w:ascii="Times New Roman" w:hAnsi="Times New Roman" w:eastAsia="宋体" w:cs="Times New Roman"/>
                <w:b/>
                <w:color w:val="000000" w:themeColor="text1"/>
                <w:sz w:val="32"/>
                <w:szCs w:val="20"/>
              </w:rPr>
            </w:pPr>
          </w:p>
          <w:p>
            <w:pPr>
              <w:spacing w:before="78" w:beforeLines="25" w:line="520" w:lineRule="exact"/>
              <w:ind w:firstLine="5301" w:firstLineChars="1650"/>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公章</w:t>
            </w:r>
          </w:p>
          <w:p>
            <w:pPr>
              <w:spacing w:before="78" w:beforeLines="25" w:line="520" w:lineRule="exact"/>
              <w:ind w:firstLine="5301" w:firstLineChars="1650"/>
              <w:rPr>
                <w:rFonts w:ascii="Times New Roman" w:hAnsi="Times New Roman" w:eastAsia="宋体" w:cs="Times New Roman"/>
                <w:b/>
                <w:color w:val="000000" w:themeColor="text1"/>
                <w:sz w:val="32"/>
                <w:szCs w:val="20"/>
              </w:rPr>
            </w:pPr>
            <w:r>
              <w:rPr>
                <w:rFonts w:ascii="Times New Roman" w:hAnsi="Times New Roman" w:eastAsia="宋体" w:cs="Times New Roman"/>
                <w:b/>
                <w:color w:val="000000" w:themeColor="text1"/>
                <w:sz w:val="32"/>
                <w:szCs w:val="20"/>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47" w:hRule="atLeast"/>
          <w:jc w:val="center"/>
        </w:trPr>
        <w:tc>
          <w:tcPr>
            <w:tcW w:w="9286" w:type="dxa"/>
            <w:gridSpan w:val="2"/>
            <w:tcBorders>
              <w:top w:val="single" w:color="auto" w:sz="6" w:space="0"/>
              <w:left w:val="single" w:color="auto" w:sz="12" w:space="0"/>
              <w:bottom w:val="single" w:color="auto" w:sz="12" w:space="0"/>
              <w:right w:val="single" w:color="auto" w:sz="12" w:space="0"/>
            </w:tcBorders>
          </w:tcPr>
          <w:p>
            <w:pPr>
              <w:spacing w:before="78" w:beforeLines="25" w:line="520" w:lineRule="exact"/>
              <w:jc w:val="center"/>
              <w:rPr>
                <w:rFonts w:ascii="Times New Roman" w:hAnsi="Times New Roman" w:eastAsia="黑体" w:cs="Times New Roman"/>
                <w:b/>
                <w:color w:val="000000" w:themeColor="text1"/>
                <w:sz w:val="36"/>
                <w:szCs w:val="36"/>
              </w:rPr>
            </w:pPr>
            <w:r>
              <w:rPr>
                <w:rFonts w:ascii="Times New Roman" w:hAnsi="Times New Roman" w:eastAsia="黑体" w:cs="Times New Roman"/>
                <w:b/>
                <w:color w:val="000000" w:themeColor="text1"/>
                <w:sz w:val="36"/>
                <w:szCs w:val="36"/>
              </w:rPr>
              <w:t>注释</w:t>
            </w:r>
          </w:p>
          <w:p>
            <w:pPr>
              <w:spacing w:before="78" w:beforeLines="25" w:line="520" w:lineRule="exact"/>
              <w:rPr>
                <w:rFonts w:ascii="Times New Roman" w:hAnsi="Times New Roman" w:eastAsia="宋体" w:cs="Times New Roman"/>
                <w:color w:val="000000" w:themeColor="text1"/>
                <w:sz w:val="28"/>
                <w:szCs w:val="28"/>
              </w:rPr>
            </w:pPr>
          </w:p>
          <w:p>
            <w:pPr>
              <w:spacing w:before="78" w:beforeLines="25" w:line="520" w:lineRule="exact"/>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一、本报告表应附以下附件、附图：</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附图1  项目地理位置及周边交通情况图</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 xml:space="preserve">附图2  </w:t>
            </w:r>
            <w:r>
              <w:rPr>
                <w:rFonts w:hint="eastAsia" w:ascii="Times New Roman" w:cs="Times New Roman" w:eastAsiaTheme="minorEastAsia"/>
                <w:sz w:val="28"/>
                <w:szCs w:val="28"/>
              </w:rPr>
              <w:t>项目四邻关系及环境保护目标图</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 xml:space="preserve">附图3 </w:t>
            </w:r>
            <w:r>
              <w:rPr>
                <w:rFonts w:hint="eastAsia" w:ascii="Times New Roman" w:cs="Times New Roman" w:eastAsiaTheme="minorEastAsia"/>
                <w:sz w:val="28"/>
                <w:szCs w:val="28"/>
              </w:rPr>
              <w:t xml:space="preserve"> 项目总平面布置示意图</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 xml:space="preserve">附图4  </w:t>
            </w:r>
            <w:r>
              <w:rPr>
                <w:rFonts w:hint="eastAsia" w:ascii="Times New Roman" w:cs="Times New Roman" w:eastAsiaTheme="minorEastAsia"/>
                <w:sz w:val="28"/>
                <w:szCs w:val="28"/>
              </w:rPr>
              <w:t>项目区域地表水系图</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 xml:space="preserve">附图5  </w:t>
            </w:r>
            <w:r>
              <w:rPr>
                <w:rFonts w:hint="eastAsia" w:ascii="Times New Roman" w:cs="Times New Roman" w:eastAsiaTheme="minorEastAsia"/>
                <w:sz w:val="28"/>
                <w:szCs w:val="28"/>
              </w:rPr>
              <w:t>项目所在地集中供水源地分布图</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 xml:space="preserve">附图6  </w:t>
            </w:r>
            <w:r>
              <w:rPr>
                <w:rFonts w:hint="eastAsia" w:ascii="Times New Roman" w:cs="Times New Roman" w:eastAsiaTheme="minorEastAsia"/>
                <w:sz w:val="28"/>
                <w:szCs w:val="28"/>
              </w:rPr>
              <w:t>代县生态功能区划图</w:t>
            </w:r>
          </w:p>
          <w:p>
            <w:pPr>
              <w:pStyle w:val="2"/>
              <w:spacing w:line="400" w:lineRule="exact"/>
              <w:ind w:firstLine="1120" w:firstLineChars="400"/>
              <w:rPr>
                <w:rFonts w:ascii="Times New Roman" w:cs="Times New Roman" w:eastAsiaTheme="minorEastAsia"/>
                <w:sz w:val="28"/>
                <w:szCs w:val="28"/>
              </w:rPr>
            </w:pPr>
            <w:r>
              <w:rPr>
                <w:rFonts w:hint="eastAsia" w:ascii="Times New Roman" w:cs="Times New Roman" w:eastAsiaTheme="minorEastAsia"/>
                <w:sz w:val="28"/>
                <w:szCs w:val="28"/>
              </w:rPr>
              <w:t>附图7  代县生态经济区划图</w:t>
            </w:r>
          </w:p>
          <w:p>
            <w:pPr>
              <w:pStyle w:val="2"/>
              <w:spacing w:line="400" w:lineRule="exact"/>
              <w:ind w:firstLine="1120" w:firstLineChars="400"/>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eastAsia="zh-CN"/>
              </w:rPr>
              <w:t>附图</w:t>
            </w:r>
            <w:r>
              <w:rPr>
                <w:rFonts w:hint="eastAsia" w:ascii="Times New Roman" w:hAnsi="Times New Roman" w:cs="Times New Roman" w:eastAsiaTheme="minorEastAsia"/>
                <w:sz w:val="28"/>
                <w:szCs w:val="28"/>
                <w:lang w:val="en-US" w:eastAsia="zh-CN"/>
              </w:rPr>
              <w:t>8  山西省主体功能区划图</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附件1  项目委托书</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 xml:space="preserve">附件2  </w:t>
            </w:r>
            <w:r>
              <w:rPr>
                <w:rFonts w:hint="eastAsia" w:ascii="Times New Roman" w:cs="Times New Roman" w:eastAsiaTheme="minorEastAsia"/>
                <w:sz w:val="28"/>
                <w:szCs w:val="28"/>
              </w:rPr>
              <w:t>项目备案</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附件3  土地租赁协议</w:t>
            </w:r>
          </w:p>
          <w:p>
            <w:pPr>
              <w:pStyle w:val="2"/>
              <w:spacing w:line="400" w:lineRule="exact"/>
              <w:ind w:firstLine="1120" w:firstLineChars="400"/>
              <w:rPr>
                <w:rFonts w:ascii="Times New Roman" w:cs="Times New Roman" w:eastAsiaTheme="minorEastAsia"/>
                <w:sz w:val="28"/>
                <w:szCs w:val="28"/>
              </w:rPr>
            </w:pPr>
            <w:r>
              <w:rPr>
                <w:rFonts w:ascii="Times New Roman" w:cs="Times New Roman" w:eastAsiaTheme="minorEastAsia"/>
                <w:sz w:val="28"/>
                <w:szCs w:val="28"/>
              </w:rPr>
              <w:t xml:space="preserve">附件4  </w:t>
            </w:r>
            <w:r>
              <w:rPr>
                <w:rFonts w:hint="eastAsia" w:ascii="Times New Roman" w:cs="Times New Roman" w:eastAsiaTheme="minorEastAsia"/>
                <w:sz w:val="28"/>
                <w:szCs w:val="28"/>
              </w:rPr>
              <w:t>监测报告</w:t>
            </w:r>
          </w:p>
          <w:p>
            <w:pPr>
              <w:pStyle w:val="2"/>
              <w:spacing w:line="400" w:lineRule="exact"/>
              <w:ind w:firstLine="1120" w:firstLineChars="400"/>
              <w:rPr>
                <w:rFonts w:hint="eastAsia" w:ascii="Times New Roman" w:cs="Times New Roman" w:eastAsiaTheme="minorEastAsia"/>
                <w:sz w:val="28"/>
                <w:szCs w:val="28"/>
              </w:rPr>
            </w:pPr>
            <w:r>
              <w:rPr>
                <w:rFonts w:hint="eastAsia" w:ascii="Times New Roman" w:cs="Times New Roman" w:eastAsiaTheme="minorEastAsia"/>
                <w:sz w:val="28"/>
                <w:szCs w:val="28"/>
              </w:rPr>
              <w:t>附件5  审核意见</w:t>
            </w:r>
          </w:p>
          <w:p>
            <w:pPr>
              <w:pStyle w:val="2"/>
              <w:spacing w:line="400" w:lineRule="exact"/>
              <w:ind w:firstLine="1120" w:firstLineChars="400"/>
              <w:rPr>
                <w:rFonts w:hint="default" w:ascii="Times New Roman" w:cs="Times New Roman" w:eastAsiaTheme="minorEastAsia"/>
                <w:sz w:val="28"/>
                <w:szCs w:val="28"/>
                <w:lang w:val="en-US" w:eastAsia="zh-CN"/>
              </w:rPr>
            </w:pPr>
            <w:r>
              <w:rPr>
                <w:rFonts w:hint="eastAsia" w:ascii="Times New Roman" w:cs="Times New Roman" w:eastAsiaTheme="minorEastAsia"/>
                <w:sz w:val="28"/>
                <w:szCs w:val="28"/>
                <w:lang w:val="en-US" w:eastAsia="zh-CN"/>
              </w:rPr>
              <w:t>附件6  总量核定</w:t>
            </w:r>
          </w:p>
          <w:p>
            <w:pPr>
              <w:spacing w:before="78" w:beforeLines="25" w:line="520" w:lineRule="exact"/>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二、如果本报告表不能说明项目产生的污染及环境造成的影响，应进行专项评价。根据建设项目的特点和当地环境特征，应选下列1-2项进行专项评价。</w:t>
            </w:r>
          </w:p>
          <w:p>
            <w:pPr>
              <w:spacing w:before="78" w:beforeLines="25" w:line="520" w:lineRule="exact"/>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 xml:space="preserve">    1、大气环境影响专项评价</w:t>
            </w:r>
          </w:p>
          <w:p>
            <w:pPr>
              <w:spacing w:before="78" w:beforeLines="25" w:line="520" w:lineRule="exact"/>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 xml:space="preserve">    2、水环境影响专项评价（包括地表水和地下水）</w:t>
            </w:r>
          </w:p>
          <w:p>
            <w:pPr>
              <w:spacing w:before="78" w:beforeLines="25" w:line="520" w:lineRule="exact"/>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 xml:space="preserve">    3、生态影响专项评价</w:t>
            </w:r>
          </w:p>
          <w:p>
            <w:pPr>
              <w:spacing w:before="78" w:beforeLines="25" w:line="520" w:lineRule="exact"/>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 xml:space="preserve">    4、声影响专项评价</w:t>
            </w:r>
          </w:p>
          <w:p>
            <w:pPr>
              <w:spacing w:before="78" w:beforeLines="25" w:line="520" w:lineRule="exact"/>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 xml:space="preserve">    5、土壤影响专项评价</w:t>
            </w:r>
          </w:p>
          <w:p>
            <w:pPr>
              <w:spacing w:before="78" w:beforeLines="25" w:line="520" w:lineRule="exact"/>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 xml:space="preserve">    6、固体废弃物影响专项评价</w:t>
            </w:r>
          </w:p>
          <w:p>
            <w:pPr>
              <w:spacing w:before="78" w:beforeLines="25" w:line="520" w:lineRule="exact"/>
              <w:ind w:firstLine="525"/>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以上专项评价未包括的可另列专项，专项评价按照《环境影响评价技术导则》中的要求进行。</w:t>
            </w:r>
          </w:p>
        </w:tc>
      </w:tr>
    </w:tbl>
    <w:p>
      <w:pPr>
        <w:rPr>
          <w:rFonts w:ascii="Times New Roman" w:hAnsi="Times New Roman" w:cs="Times New Roman"/>
          <w:color w:val="000000" w:themeColor="text1"/>
        </w:rPr>
        <w:sectPr>
          <w:pgSz w:w="11906" w:h="16838"/>
          <w:pgMar w:top="1440" w:right="1418" w:bottom="1440" w:left="1418" w:header="851" w:footer="992" w:gutter="0"/>
          <w:cols w:space="425" w:num="1"/>
          <w:docGrid w:type="lines" w:linePitch="312" w:charSpace="0"/>
        </w:sectPr>
      </w:pPr>
    </w:p>
    <w:p>
      <w:pPr>
        <w:pStyle w:val="2"/>
        <w:jc w:val="both"/>
        <w:rPr>
          <w:rFonts w:ascii="Times New Roman" w:cs="Times New Roman"/>
        </w:rPr>
      </w:pPr>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sdt>
      <w:sdtPr>
        <w:id w:val="24243227"/>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sdt>
      <w:sdtPr>
        <w:id w:val="586120736"/>
      </w:sdt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24243230"/>
                </w:sdtPr>
                <w:sdtContent>
                  <w:p>
                    <w:pPr>
                      <w:pStyle w:val="30"/>
                      <w:jc w:val="center"/>
                    </w:pPr>
                    <w:r>
                      <w:fldChar w:fldCharType="begin"/>
                    </w:r>
                    <w:r>
                      <w:instrText xml:space="preserve"> PAGE   \* MERGEFORMAT </w:instrText>
                    </w:r>
                    <w:r>
                      <w:fldChar w:fldCharType="separate"/>
                    </w:r>
                    <w:r>
                      <w:rPr>
                        <w:lang w:val="zh-CN"/>
                      </w:rPr>
                      <w:t>17</w:t>
                    </w:r>
                    <w:r>
                      <w:rPr>
                        <w:lang w:val="zh-CN"/>
                      </w:rPr>
                      <w:fldChar w:fldCharType="end"/>
                    </w:r>
                  </w:p>
                </w:sdtContent>
              </w:sdt>
              <w:p>
                <w:pPr>
                  <w:pStyle w:val="15"/>
                  <w:spacing w:before="120"/>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0"/>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F34D2"/>
    <w:multiLevelType w:val="singleLevel"/>
    <w:tmpl w:val="AC7F34D2"/>
    <w:lvl w:ilvl="0" w:tentative="0">
      <w:start w:val="4"/>
      <w:numFmt w:val="decimal"/>
      <w:suff w:val="nothing"/>
      <w:lvlText w:val="（%1）"/>
      <w:lvlJc w:val="left"/>
    </w:lvl>
  </w:abstractNum>
  <w:abstractNum w:abstractNumId="1">
    <w:nsid w:val="B1E5295B"/>
    <w:multiLevelType w:val="singleLevel"/>
    <w:tmpl w:val="B1E5295B"/>
    <w:lvl w:ilvl="0" w:tentative="0">
      <w:start w:val="2"/>
      <w:numFmt w:val="decimal"/>
      <w:suff w:val="nothing"/>
      <w:lvlText w:val="（%1）"/>
      <w:lvlJc w:val="left"/>
    </w:lvl>
  </w:abstractNum>
  <w:abstractNum w:abstractNumId="2">
    <w:nsid w:val="BF0A3DFE"/>
    <w:multiLevelType w:val="singleLevel"/>
    <w:tmpl w:val="BF0A3DFE"/>
    <w:lvl w:ilvl="0" w:tentative="0">
      <w:start w:val="3"/>
      <w:numFmt w:val="decimal"/>
      <w:suff w:val="nothing"/>
      <w:lvlText w:val="（%1）"/>
      <w:lvlJc w:val="left"/>
    </w:lvl>
  </w:abstractNum>
  <w:abstractNum w:abstractNumId="3">
    <w:nsid w:val="E740F867"/>
    <w:multiLevelType w:val="singleLevel"/>
    <w:tmpl w:val="E740F867"/>
    <w:lvl w:ilvl="0" w:tentative="0">
      <w:start w:val="1"/>
      <w:numFmt w:val="decimal"/>
      <w:suff w:val="nothing"/>
      <w:lvlText w:val="（%1）"/>
      <w:lvlJc w:val="left"/>
    </w:lvl>
  </w:abstractNum>
  <w:abstractNum w:abstractNumId="4">
    <w:nsid w:val="FA4DAA14"/>
    <w:multiLevelType w:val="singleLevel"/>
    <w:tmpl w:val="FA4DAA14"/>
    <w:lvl w:ilvl="0" w:tentative="0">
      <w:start w:val="2"/>
      <w:numFmt w:val="decimal"/>
      <w:suff w:val="nothing"/>
      <w:lvlText w:val="%1、"/>
      <w:lvlJc w:val="left"/>
    </w:lvl>
  </w:abstractNum>
  <w:abstractNum w:abstractNumId="5">
    <w:nsid w:val="FFFFFF89"/>
    <w:multiLevelType w:val="singleLevel"/>
    <w:tmpl w:val="FFFFFF89"/>
    <w:lvl w:ilvl="0" w:tentative="0">
      <w:start w:val="1"/>
      <w:numFmt w:val="bullet"/>
      <w:pStyle w:val="17"/>
      <w:lvlText w:val=""/>
      <w:lvlJc w:val="left"/>
      <w:pPr>
        <w:tabs>
          <w:tab w:val="left" w:pos="360"/>
        </w:tabs>
        <w:ind w:left="360" w:hanging="360" w:hangingChars="200"/>
      </w:pPr>
      <w:rPr>
        <w:rFonts w:hint="default" w:ascii="Wingdings" w:hAnsi="Wingdings"/>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5F78"/>
    <w:rsid w:val="00001F3F"/>
    <w:rsid w:val="00001FF3"/>
    <w:rsid w:val="0000302D"/>
    <w:rsid w:val="00007582"/>
    <w:rsid w:val="00010382"/>
    <w:rsid w:val="0001097E"/>
    <w:rsid w:val="00013383"/>
    <w:rsid w:val="00015B16"/>
    <w:rsid w:val="00015F9D"/>
    <w:rsid w:val="000166ED"/>
    <w:rsid w:val="00016A83"/>
    <w:rsid w:val="00021A11"/>
    <w:rsid w:val="00021EDC"/>
    <w:rsid w:val="00024F4E"/>
    <w:rsid w:val="000250D3"/>
    <w:rsid w:val="000250ED"/>
    <w:rsid w:val="00026EE5"/>
    <w:rsid w:val="00033844"/>
    <w:rsid w:val="00034ACF"/>
    <w:rsid w:val="0003618A"/>
    <w:rsid w:val="00036BA7"/>
    <w:rsid w:val="00037954"/>
    <w:rsid w:val="00037D92"/>
    <w:rsid w:val="0004023A"/>
    <w:rsid w:val="00041AE9"/>
    <w:rsid w:val="00042D56"/>
    <w:rsid w:val="00047066"/>
    <w:rsid w:val="00050D82"/>
    <w:rsid w:val="00052810"/>
    <w:rsid w:val="00054BF0"/>
    <w:rsid w:val="00055348"/>
    <w:rsid w:val="000556C4"/>
    <w:rsid w:val="0006130D"/>
    <w:rsid w:val="000615C1"/>
    <w:rsid w:val="00061E28"/>
    <w:rsid w:val="0006274C"/>
    <w:rsid w:val="0006564A"/>
    <w:rsid w:val="0006650C"/>
    <w:rsid w:val="000702B5"/>
    <w:rsid w:val="00071580"/>
    <w:rsid w:val="00072277"/>
    <w:rsid w:val="0007601C"/>
    <w:rsid w:val="00080FD8"/>
    <w:rsid w:val="000832D6"/>
    <w:rsid w:val="0008333D"/>
    <w:rsid w:val="00084C96"/>
    <w:rsid w:val="00084F49"/>
    <w:rsid w:val="000856EE"/>
    <w:rsid w:val="00085AC2"/>
    <w:rsid w:val="00085EAA"/>
    <w:rsid w:val="00086391"/>
    <w:rsid w:val="0009142E"/>
    <w:rsid w:val="00091923"/>
    <w:rsid w:val="00094440"/>
    <w:rsid w:val="00094CEF"/>
    <w:rsid w:val="00096BA8"/>
    <w:rsid w:val="00097CDA"/>
    <w:rsid w:val="000A3816"/>
    <w:rsid w:val="000A3BC8"/>
    <w:rsid w:val="000A63A0"/>
    <w:rsid w:val="000A6F43"/>
    <w:rsid w:val="000A7290"/>
    <w:rsid w:val="000A73B6"/>
    <w:rsid w:val="000B30F3"/>
    <w:rsid w:val="000B387A"/>
    <w:rsid w:val="000B4BDA"/>
    <w:rsid w:val="000B6CEA"/>
    <w:rsid w:val="000C02B6"/>
    <w:rsid w:val="000C25AA"/>
    <w:rsid w:val="000C59FA"/>
    <w:rsid w:val="000C6132"/>
    <w:rsid w:val="000C77F9"/>
    <w:rsid w:val="000D0434"/>
    <w:rsid w:val="000D054D"/>
    <w:rsid w:val="000D07B0"/>
    <w:rsid w:val="000D30AC"/>
    <w:rsid w:val="000D506B"/>
    <w:rsid w:val="000E09D4"/>
    <w:rsid w:val="000E157C"/>
    <w:rsid w:val="000E3216"/>
    <w:rsid w:val="000E4F3C"/>
    <w:rsid w:val="000E51B7"/>
    <w:rsid w:val="000E51DC"/>
    <w:rsid w:val="000F5538"/>
    <w:rsid w:val="000F5F78"/>
    <w:rsid w:val="000F7D50"/>
    <w:rsid w:val="0010484F"/>
    <w:rsid w:val="001049E0"/>
    <w:rsid w:val="00105644"/>
    <w:rsid w:val="00112901"/>
    <w:rsid w:val="00115895"/>
    <w:rsid w:val="00116B8B"/>
    <w:rsid w:val="00117E40"/>
    <w:rsid w:val="001235CC"/>
    <w:rsid w:val="00123EDB"/>
    <w:rsid w:val="00123F9E"/>
    <w:rsid w:val="00124546"/>
    <w:rsid w:val="00126964"/>
    <w:rsid w:val="00127AD2"/>
    <w:rsid w:val="001316B5"/>
    <w:rsid w:val="00135A26"/>
    <w:rsid w:val="00140FB9"/>
    <w:rsid w:val="00141617"/>
    <w:rsid w:val="00143B2A"/>
    <w:rsid w:val="001513D3"/>
    <w:rsid w:val="00151FB9"/>
    <w:rsid w:val="00152384"/>
    <w:rsid w:val="001544C4"/>
    <w:rsid w:val="00154F5F"/>
    <w:rsid w:val="00156A7D"/>
    <w:rsid w:val="001578D3"/>
    <w:rsid w:val="00160BF6"/>
    <w:rsid w:val="00161AEF"/>
    <w:rsid w:val="00162AA1"/>
    <w:rsid w:val="001639B7"/>
    <w:rsid w:val="00165BA4"/>
    <w:rsid w:val="00166F95"/>
    <w:rsid w:val="00170128"/>
    <w:rsid w:val="001744CC"/>
    <w:rsid w:val="0017490B"/>
    <w:rsid w:val="00184C84"/>
    <w:rsid w:val="00191B47"/>
    <w:rsid w:val="00195DCD"/>
    <w:rsid w:val="00196F3A"/>
    <w:rsid w:val="00197671"/>
    <w:rsid w:val="001A089F"/>
    <w:rsid w:val="001A0C21"/>
    <w:rsid w:val="001A2450"/>
    <w:rsid w:val="001A2760"/>
    <w:rsid w:val="001A379B"/>
    <w:rsid w:val="001A4351"/>
    <w:rsid w:val="001A4CE4"/>
    <w:rsid w:val="001A5717"/>
    <w:rsid w:val="001A6971"/>
    <w:rsid w:val="001A7DEC"/>
    <w:rsid w:val="001B1DD8"/>
    <w:rsid w:val="001B2991"/>
    <w:rsid w:val="001B2CB8"/>
    <w:rsid w:val="001B51C4"/>
    <w:rsid w:val="001B55A5"/>
    <w:rsid w:val="001B6369"/>
    <w:rsid w:val="001C06D3"/>
    <w:rsid w:val="001C0D8B"/>
    <w:rsid w:val="001C2A6D"/>
    <w:rsid w:val="001D02D8"/>
    <w:rsid w:val="001D522F"/>
    <w:rsid w:val="001D58C7"/>
    <w:rsid w:val="001E10AC"/>
    <w:rsid w:val="001E5C90"/>
    <w:rsid w:val="001E5F1E"/>
    <w:rsid w:val="001E6923"/>
    <w:rsid w:val="001F0A03"/>
    <w:rsid w:val="001F2794"/>
    <w:rsid w:val="001F4029"/>
    <w:rsid w:val="001F4948"/>
    <w:rsid w:val="001F7A89"/>
    <w:rsid w:val="002025F4"/>
    <w:rsid w:val="002039C1"/>
    <w:rsid w:val="00206077"/>
    <w:rsid w:val="00211D86"/>
    <w:rsid w:val="00211E18"/>
    <w:rsid w:val="00214B14"/>
    <w:rsid w:val="002156ED"/>
    <w:rsid w:val="00216D7D"/>
    <w:rsid w:val="0021772C"/>
    <w:rsid w:val="002205CC"/>
    <w:rsid w:val="00221199"/>
    <w:rsid w:val="00226EFE"/>
    <w:rsid w:val="00232130"/>
    <w:rsid w:val="002360FC"/>
    <w:rsid w:val="0024049E"/>
    <w:rsid w:val="00241FDF"/>
    <w:rsid w:val="002421A8"/>
    <w:rsid w:val="002434CF"/>
    <w:rsid w:val="00246E2C"/>
    <w:rsid w:val="002475F5"/>
    <w:rsid w:val="00250048"/>
    <w:rsid w:val="00253935"/>
    <w:rsid w:val="00254439"/>
    <w:rsid w:val="00257B9E"/>
    <w:rsid w:val="00260719"/>
    <w:rsid w:val="002622CF"/>
    <w:rsid w:val="00263A4C"/>
    <w:rsid w:val="00263BF0"/>
    <w:rsid w:val="00263EDB"/>
    <w:rsid w:val="00264F1D"/>
    <w:rsid w:val="00266B4E"/>
    <w:rsid w:val="00267985"/>
    <w:rsid w:val="002713C4"/>
    <w:rsid w:val="00274089"/>
    <w:rsid w:val="002762AC"/>
    <w:rsid w:val="002807E6"/>
    <w:rsid w:val="00280F07"/>
    <w:rsid w:val="00282F62"/>
    <w:rsid w:val="002830E1"/>
    <w:rsid w:val="002833FF"/>
    <w:rsid w:val="00284018"/>
    <w:rsid w:val="00285661"/>
    <w:rsid w:val="002863D0"/>
    <w:rsid w:val="0028702A"/>
    <w:rsid w:val="00290116"/>
    <w:rsid w:val="00291E25"/>
    <w:rsid w:val="0029292D"/>
    <w:rsid w:val="002942E0"/>
    <w:rsid w:val="00294812"/>
    <w:rsid w:val="00295CC2"/>
    <w:rsid w:val="00296223"/>
    <w:rsid w:val="0029663D"/>
    <w:rsid w:val="002A2654"/>
    <w:rsid w:val="002A2E20"/>
    <w:rsid w:val="002B0ED0"/>
    <w:rsid w:val="002B303F"/>
    <w:rsid w:val="002B34D3"/>
    <w:rsid w:val="002B3BB6"/>
    <w:rsid w:val="002B5735"/>
    <w:rsid w:val="002B7010"/>
    <w:rsid w:val="002B7675"/>
    <w:rsid w:val="002B7CA0"/>
    <w:rsid w:val="002C740E"/>
    <w:rsid w:val="002D29A5"/>
    <w:rsid w:val="002D2D9C"/>
    <w:rsid w:val="002D436A"/>
    <w:rsid w:val="002D7A94"/>
    <w:rsid w:val="002E2648"/>
    <w:rsid w:val="002E3069"/>
    <w:rsid w:val="002E39AC"/>
    <w:rsid w:val="002E6DD1"/>
    <w:rsid w:val="002F125D"/>
    <w:rsid w:val="002F21BA"/>
    <w:rsid w:val="002F5538"/>
    <w:rsid w:val="002F5887"/>
    <w:rsid w:val="002F70A0"/>
    <w:rsid w:val="002F71A6"/>
    <w:rsid w:val="002F7EBB"/>
    <w:rsid w:val="00300F38"/>
    <w:rsid w:val="00303117"/>
    <w:rsid w:val="00306204"/>
    <w:rsid w:val="00306D8A"/>
    <w:rsid w:val="00307DF5"/>
    <w:rsid w:val="00315A6C"/>
    <w:rsid w:val="003216DB"/>
    <w:rsid w:val="003267E7"/>
    <w:rsid w:val="00326B1E"/>
    <w:rsid w:val="00330EB7"/>
    <w:rsid w:val="00333D3F"/>
    <w:rsid w:val="00336949"/>
    <w:rsid w:val="00336E36"/>
    <w:rsid w:val="00337BE2"/>
    <w:rsid w:val="00337C61"/>
    <w:rsid w:val="00342DA3"/>
    <w:rsid w:val="003465FF"/>
    <w:rsid w:val="0035056F"/>
    <w:rsid w:val="00350FC3"/>
    <w:rsid w:val="0035696C"/>
    <w:rsid w:val="00360E8B"/>
    <w:rsid w:val="00361CAE"/>
    <w:rsid w:val="0036221F"/>
    <w:rsid w:val="003630D3"/>
    <w:rsid w:val="00364201"/>
    <w:rsid w:val="00366281"/>
    <w:rsid w:val="00366415"/>
    <w:rsid w:val="00367D8E"/>
    <w:rsid w:val="00367EA0"/>
    <w:rsid w:val="0037404F"/>
    <w:rsid w:val="00374E85"/>
    <w:rsid w:val="00375358"/>
    <w:rsid w:val="00377056"/>
    <w:rsid w:val="00380E88"/>
    <w:rsid w:val="00381724"/>
    <w:rsid w:val="0038335C"/>
    <w:rsid w:val="0038493A"/>
    <w:rsid w:val="00390908"/>
    <w:rsid w:val="003966D3"/>
    <w:rsid w:val="00396AF6"/>
    <w:rsid w:val="00397780"/>
    <w:rsid w:val="003A1950"/>
    <w:rsid w:val="003B0769"/>
    <w:rsid w:val="003B099F"/>
    <w:rsid w:val="003B0C2F"/>
    <w:rsid w:val="003C164A"/>
    <w:rsid w:val="003C4A61"/>
    <w:rsid w:val="003C6938"/>
    <w:rsid w:val="003D6E45"/>
    <w:rsid w:val="003E273C"/>
    <w:rsid w:val="003E292A"/>
    <w:rsid w:val="003E3848"/>
    <w:rsid w:val="003E4EEF"/>
    <w:rsid w:val="003E7058"/>
    <w:rsid w:val="003E76BF"/>
    <w:rsid w:val="003F2FDE"/>
    <w:rsid w:val="003F4D18"/>
    <w:rsid w:val="004031CC"/>
    <w:rsid w:val="00405063"/>
    <w:rsid w:val="00410A03"/>
    <w:rsid w:val="00411EB5"/>
    <w:rsid w:val="004166B1"/>
    <w:rsid w:val="0041777B"/>
    <w:rsid w:val="00417802"/>
    <w:rsid w:val="0042208A"/>
    <w:rsid w:val="004319EA"/>
    <w:rsid w:val="00432D92"/>
    <w:rsid w:val="00433E6C"/>
    <w:rsid w:val="00434CC5"/>
    <w:rsid w:val="00435B08"/>
    <w:rsid w:val="00437784"/>
    <w:rsid w:val="00437D6B"/>
    <w:rsid w:val="00443E82"/>
    <w:rsid w:val="00446001"/>
    <w:rsid w:val="0044651E"/>
    <w:rsid w:val="00447DE8"/>
    <w:rsid w:val="00447E92"/>
    <w:rsid w:val="00452E29"/>
    <w:rsid w:val="00453A23"/>
    <w:rsid w:val="00454038"/>
    <w:rsid w:val="00455986"/>
    <w:rsid w:val="004571AE"/>
    <w:rsid w:val="00457F92"/>
    <w:rsid w:val="004607BB"/>
    <w:rsid w:val="00460B57"/>
    <w:rsid w:val="004621A3"/>
    <w:rsid w:val="00463082"/>
    <w:rsid w:val="00463CB3"/>
    <w:rsid w:val="00463FD9"/>
    <w:rsid w:val="00466648"/>
    <w:rsid w:val="004710DA"/>
    <w:rsid w:val="004722BF"/>
    <w:rsid w:val="0047324F"/>
    <w:rsid w:val="00475454"/>
    <w:rsid w:val="0047677D"/>
    <w:rsid w:val="00477170"/>
    <w:rsid w:val="004775B7"/>
    <w:rsid w:val="004812F3"/>
    <w:rsid w:val="0048254A"/>
    <w:rsid w:val="0048309E"/>
    <w:rsid w:val="00485200"/>
    <w:rsid w:val="00485C50"/>
    <w:rsid w:val="00487FA8"/>
    <w:rsid w:val="00495708"/>
    <w:rsid w:val="00495AAC"/>
    <w:rsid w:val="00496C5A"/>
    <w:rsid w:val="004976BC"/>
    <w:rsid w:val="004A1A80"/>
    <w:rsid w:val="004A23EE"/>
    <w:rsid w:val="004A4AC2"/>
    <w:rsid w:val="004A72D6"/>
    <w:rsid w:val="004A7B06"/>
    <w:rsid w:val="004B19FC"/>
    <w:rsid w:val="004B1BCA"/>
    <w:rsid w:val="004B25B0"/>
    <w:rsid w:val="004C0F5F"/>
    <w:rsid w:val="004C5FAB"/>
    <w:rsid w:val="004C699C"/>
    <w:rsid w:val="004C714A"/>
    <w:rsid w:val="004D31D9"/>
    <w:rsid w:val="004D37B9"/>
    <w:rsid w:val="004D4A71"/>
    <w:rsid w:val="004E171C"/>
    <w:rsid w:val="004E1EA1"/>
    <w:rsid w:val="004E3529"/>
    <w:rsid w:val="004F12B8"/>
    <w:rsid w:val="004F4958"/>
    <w:rsid w:val="004F5C93"/>
    <w:rsid w:val="00504B8B"/>
    <w:rsid w:val="00504DBC"/>
    <w:rsid w:val="00505C95"/>
    <w:rsid w:val="00512AB2"/>
    <w:rsid w:val="00512DF5"/>
    <w:rsid w:val="0052009F"/>
    <w:rsid w:val="0052161A"/>
    <w:rsid w:val="0052359A"/>
    <w:rsid w:val="00526FE0"/>
    <w:rsid w:val="00527A53"/>
    <w:rsid w:val="00530052"/>
    <w:rsid w:val="00530795"/>
    <w:rsid w:val="0053121D"/>
    <w:rsid w:val="005318B9"/>
    <w:rsid w:val="00531B92"/>
    <w:rsid w:val="00531D73"/>
    <w:rsid w:val="005326BF"/>
    <w:rsid w:val="00532C72"/>
    <w:rsid w:val="00533202"/>
    <w:rsid w:val="00533F2B"/>
    <w:rsid w:val="005351BF"/>
    <w:rsid w:val="00537F41"/>
    <w:rsid w:val="0054179C"/>
    <w:rsid w:val="00544951"/>
    <w:rsid w:val="00547F13"/>
    <w:rsid w:val="0055143A"/>
    <w:rsid w:val="005534A0"/>
    <w:rsid w:val="0055390D"/>
    <w:rsid w:val="00555531"/>
    <w:rsid w:val="005600F8"/>
    <w:rsid w:val="00560244"/>
    <w:rsid w:val="005605DF"/>
    <w:rsid w:val="00562CD9"/>
    <w:rsid w:val="00564AA8"/>
    <w:rsid w:val="00564AF3"/>
    <w:rsid w:val="00564D58"/>
    <w:rsid w:val="005652D6"/>
    <w:rsid w:val="00566E0B"/>
    <w:rsid w:val="00567D99"/>
    <w:rsid w:val="005737C3"/>
    <w:rsid w:val="0058128E"/>
    <w:rsid w:val="00582905"/>
    <w:rsid w:val="00584443"/>
    <w:rsid w:val="00584A0F"/>
    <w:rsid w:val="005851B6"/>
    <w:rsid w:val="005852DE"/>
    <w:rsid w:val="00590D61"/>
    <w:rsid w:val="00592363"/>
    <w:rsid w:val="00592799"/>
    <w:rsid w:val="00596707"/>
    <w:rsid w:val="00597FB1"/>
    <w:rsid w:val="005A2E0E"/>
    <w:rsid w:val="005A3801"/>
    <w:rsid w:val="005A63B3"/>
    <w:rsid w:val="005A6FB6"/>
    <w:rsid w:val="005B045F"/>
    <w:rsid w:val="005B1A0C"/>
    <w:rsid w:val="005B3FD7"/>
    <w:rsid w:val="005B6A43"/>
    <w:rsid w:val="005C354D"/>
    <w:rsid w:val="005C3909"/>
    <w:rsid w:val="005C394F"/>
    <w:rsid w:val="005C4EDC"/>
    <w:rsid w:val="005C50B9"/>
    <w:rsid w:val="005D017B"/>
    <w:rsid w:val="005D0CAE"/>
    <w:rsid w:val="005D1CE3"/>
    <w:rsid w:val="005D520D"/>
    <w:rsid w:val="005D5B06"/>
    <w:rsid w:val="005E20C8"/>
    <w:rsid w:val="005E7D11"/>
    <w:rsid w:val="005F012A"/>
    <w:rsid w:val="005F1F70"/>
    <w:rsid w:val="005F3D32"/>
    <w:rsid w:val="005F6701"/>
    <w:rsid w:val="005F6FA0"/>
    <w:rsid w:val="005F743E"/>
    <w:rsid w:val="00600845"/>
    <w:rsid w:val="0060092B"/>
    <w:rsid w:val="00600C4F"/>
    <w:rsid w:val="00601789"/>
    <w:rsid w:val="00604291"/>
    <w:rsid w:val="00606E84"/>
    <w:rsid w:val="00607019"/>
    <w:rsid w:val="00607B5F"/>
    <w:rsid w:val="00607B81"/>
    <w:rsid w:val="00610B23"/>
    <w:rsid w:val="00613144"/>
    <w:rsid w:val="00617AC4"/>
    <w:rsid w:val="006214E1"/>
    <w:rsid w:val="00622700"/>
    <w:rsid w:val="006235D6"/>
    <w:rsid w:val="0062395A"/>
    <w:rsid w:val="0062423B"/>
    <w:rsid w:val="00624C83"/>
    <w:rsid w:val="0063658C"/>
    <w:rsid w:val="0064027F"/>
    <w:rsid w:val="006405F3"/>
    <w:rsid w:val="006408F9"/>
    <w:rsid w:val="006555BC"/>
    <w:rsid w:val="006566AB"/>
    <w:rsid w:val="00657EBB"/>
    <w:rsid w:val="0066189D"/>
    <w:rsid w:val="00661EE7"/>
    <w:rsid w:val="00665325"/>
    <w:rsid w:val="00671F81"/>
    <w:rsid w:val="00673DED"/>
    <w:rsid w:val="0067429B"/>
    <w:rsid w:val="00674A60"/>
    <w:rsid w:val="006919E1"/>
    <w:rsid w:val="00693C6E"/>
    <w:rsid w:val="0069591E"/>
    <w:rsid w:val="006969C6"/>
    <w:rsid w:val="006972BA"/>
    <w:rsid w:val="006A0B0E"/>
    <w:rsid w:val="006A1385"/>
    <w:rsid w:val="006A13D9"/>
    <w:rsid w:val="006A13FC"/>
    <w:rsid w:val="006A23E4"/>
    <w:rsid w:val="006A2535"/>
    <w:rsid w:val="006A254F"/>
    <w:rsid w:val="006A3E44"/>
    <w:rsid w:val="006A4DF3"/>
    <w:rsid w:val="006A56F4"/>
    <w:rsid w:val="006A67E9"/>
    <w:rsid w:val="006A6949"/>
    <w:rsid w:val="006A6B8C"/>
    <w:rsid w:val="006B2078"/>
    <w:rsid w:val="006B2BAF"/>
    <w:rsid w:val="006B368E"/>
    <w:rsid w:val="006B3F51"/>
    <w:rsid w:val="006B4D5F"/>
    <w:rsid w:val="006C0E64"/>
    <w:rsid w:val="006C1263"/>
    <w:rsid w:val="006C2665"/>
    <w:rsid w:val="006C3090"/>
    <w:rsid w:val="006C3C4F"/>
    <w:rsid w:val="006C4EEE"/>
    <w:rsid w:val="006C5DB1"/>
    <w:rsid w:val="006C781B"/>
    <w:rsid w:val="006C7D89"/>
    <w:rsid w:val="006D078B"/>
    <w:rsid w:val="006D1CF2"/>
    <w:rsid w:val="006D2499"/>
    <w:rsid w:val="006D5F8C"/>
    <w:rsid w:val="006E143E"/>
    <w:rsid w:val="006E15A2"/>
    <w:rsid w:val="006E1BE8"/>
    <w:rsid w:val="006E1DCE"/>
    <w:rsid w:val="006E4555"/>
    <w:rsid w:val="006E4D19"/>
    <w:rsid w:val="006E5000"/>
    <w:rsid w:val="006E61E9"/>
    <w:rsid w:val="006E7338"/>
    <w:rsid w:val="006F032E"/>
    <w:rsid w:val="006F06FA"/>
    <w:rsid w:val="006F22D9"/>
    <w:rsid w:val="006F2360"/>
    <w:rsid w:val="006F2EFF"/>
    <w:rsid w:val="006F7915"/>
    <w:rsid w:val="00700C82"/>
    <w:rsid w:val="0070629D"/>
    <w:rsid w:val="0070740A"/>
    <w:rsid w:val="00707BDF"/>
    <w:rsid w:val="00710F04"/>
    <w:rsid w:val="00711D33"/>
    <w:rsid w:val="007208D4"/>
    <w:rsid w:val="00721217"/>
    <w:rsid w:val="00721EFA"/>
    <w:rsid w:val="00722D18"/>
    <w:rsid w:val="0072662C"/>
    <w:rsid w:val="0072698F"/>
    <w:rsid w:val="00726A42"/>
    <w:rsid w:val="007278EA"/>
    <w:rsid w:val="007308EB"/>
    <w:rsid w:val="0073133E"/>
    <w:rsid w:val="00732624"/>
    <w:rsid w:val="00733438"/>
    <w:rsid w:val="00733A6B"/>
    <w:rsid w:val="00733BE5"/>
    <w:rsid w:val="00734228"/>
    <w:rsid w:val="00734B70"/>
    <w:rsid w:val="00736B15"/>
    <w:rsid w:val="00736BAE"/>
    <w:rsid w:val="00737E0E"/>
    <w:rsid w:val="00742346"/>
    <w:rsid w:val="007425D1"/>
    <w:rsid w:val="007427E0"/>
    <w:rsid w:val="0074403D"/>
    <w:rsid w:val="00744836"/>
    <w:rsid w:val="00746EAB"/>
    <w:rsid w:val="007476F5"/>
    <w:rsid w:val="007552A4"/>
    <w:rsid w:val="00755473"/>
    <w:rsid w:val="00760270"/>
    <w:rsid w:val="0076632E"/>
    <w:rsid w:val="007667B2"/>
    <w:rsid w:val="00770DD3"/>
    <w:rsid w:val="00772C66"/>
    <w:rsid w:val="007743B8"/>
    <w:rsid w:val="007771D3"/>
    <w:rsid w:val="007771EF"/>
    <w:rsid w:val="007805EB"/>
    <w:rsid w:val="00780FF4"/>
    <w:rsid w:val="00781C84"/>
    <w:rsid w:val="0078439A"/>
    <w:rsid w:val="007907C5"/>
    <w:rsid w:val="00790B8B"/>
    <w:rsid w:val="0079143F"/>
    <w:rsid w:val="007928EF"/>
    <w:rsid w:val="00792A94"/>
    <w:rsid w:val="00794EB5"/>
    <w:rsid w:val="007A3916"/>
    <w:rsid w:val="007A4B30"/>
    <w:rsid w:val="007A4CBB"/>
    <w:rsid w:val="007A786E"/>
    <w:rsid w:val="007B19B8"/>
    <w:rsid w:val="007B29C4"/>
    <w:rsid w:val="007B43B2"/>
    <w:rsid w:val="007C2DB6"/>
    <w:rsid w:val="007D0860"/>
    <w:rsid w:val="007D0B5E"/>
    <w:rsid w:val="007D2B0C"/>
    <w:rsid w:val="007D3267"/>
    <w:rsid w:val="007D424B"/>
    <w:rsid w:val="007D4537"/>
    <w:rsid w:val="007E0B5B"/>
    <w:rsid w:val="007E0FD6"/>
    <w:rsid w:val="007E1A56"/>
    <w:rsid w:val="007E36D1"/>
    <w:rsid w:val="007E610B"/>
    <w:rsid w:val="007E6BC8"/>
    <w:rsid w:val="007E78C7"/>
    <w:rsid w:val="007F0998"/>
    <w:rsid w:val="007F0BE4"/>
    <w:rsid w:val="007F3CB2"/>
    <w:rsid w:val="007F3D67"/>
    <w:rsid w:val="007F44B9"/>
    <w:rsid w:val="007F4D88"/>
    <w:rsid w:val="007F4D92"/>
    <w:rsid w:val="007F6DC5"/>
    <w:rsid w:val="008019CC"/>
    <w:rsid w:val="0080215A"/>
    <w:rsid w:val="0080218C"/>
    <w:rsid w:val="008026ED"/>
    <w:rsid w:val="008031F2"/>
    <w:rsid w:val="0080342E"/>
    <w:rsid w:val="00805611"/>
    <w:rsid w:val="00810286"/>
    <w:rsid w:val="00813FF0"/>
    <w:rsid w:val="008202B7"/>
    <w:rsid w:val="00822F5F"/>
    <w:rsid w:val="00827C80"/>
    <w:rsid w:val="00830818"/>
    <w:rsid w:val="00831FB4"/>
    <w:rsid w:val="00835212"/>
    <w:rsid w:val="00835284"/>
    <w:rsid w:val="00847FE6"/>
    <w:rsid w:val="0085172C"/>
    <w:rsid w:val="0085369F"/>
    <w:rsid w:val="008542A7"/>
    <w:rsid w:val="00857575"/>
    <w:rsid w:val="0086106E"/>
    <w:rsid w:val="00864945"/>
    <w:rsid w:val="00865FA9"/>
    <w:rsid w:val="00873621"/>
    <w:rsid w:val="00873ACB"/>
    <w:rsid w:val="0087466B"/>
    <w:rsid w:val="00877047"/>
    <w:rsid w:val="00882518"/>
    <w:rsid w:val="008837BE"/>
    <w:rsid w:val="00883D22"/>
    <w:rsid w:val="00884C84"/>
    <w:rsid w:val="00890331"/>
    <w:rsid w:val="00890559"/>
    <w:rsid w:val="00891E52"/>
    <w:rsid w:val="00896370"/>
    <w:rsid w:val="008A169C"/>
    <w:rsid w:val="008A395D"/>
    <w:rsid w:val="008A558B"/>
    <w:rsid w:val="008A7697"/>
    <w:rsid w:val="008B182D"/>
    <w:rsid w:val="008B1E5E"/>
    <w:rsid w:val="008B48A8"/>
    <w:rsid w:val="008B792F"/>
    <w:rsid w:val="008C29B1"/>
    <w:rsid w:val="008C4ED3"/>
    <w:rsid w:val="008D1061"/>
    <w:rsid w:val="008D4882"/>
    <w:rsid w:val="008D5C6F"/>
    <w:rsid w:val="008D64A7"/>
    <w:rsid w:val="008E129C"/>
    <w:rsid w:val="008F03A0"/>
    <w:rsid w:val="008F0462"/>
    <w:rsid w:val="008F20E6"/>
    <w:rsid w:val="008F2592"/>
    <w:rsid w:val="008F32AD"/>
    <w:rsid w:val="008F4EB6"/>
    <w:rsid w:val="008F5E90"/>
    <w:rsid w:val="008F668E"/>
    <w:rsid w:val="00902FD0"/>
    <w:rsid w:val="00903501"/>
    <w:rsid w:val="0090397D"/>
    <w:rsid w:val="00906DEA"/>
    <w:rsid w:val="00912A65"/>
    <w:rsid w:val="009175B8"/>
    <w:rsid w:val="009178FE"/>
    <w:rsid w:val="00921A35"/>
    <w:rsid w:val="00926127"/>
    <w:rsid w:val="0093266A"/>
    <w:rsid w:val="0093748A"/>
    <w:rsid w:val="009402B3"/>
    <w:rsid w:val="00940762"/>
    <w:rsid w:val="00941148"/>
    <w:rsid w:val="009417E7"/>
    <w:rsid w:val="009440C9"/>
    <w:rsid w:val="0094586B"/>
    <w:rsid w:val="00946816"/>
    <w:rsid w:val="0095440D"/>
    <w:rsid w:val="00961951"/>
    <w:rsid w:val="00963C94"/>
    <w:rsid w:val="00972371"/>
    <w:rsid w:val="00974024"/>
    <w:rsid w:val="00980959"/>
    <w:rsid w:val="00984B31"/>
    <w:rsid w:val="00985019"/>
    <w:rsid w:val="00986568"/>
    <w:rsid w:val="0098683F"/>
    <w:rsid w:val="00986E4A"/>
    <w:rsid w:val="00991614"/>
    <w:rsid w:val="00993BC8"/>
    <w:rsid w:val="009940FD"/>
    <w:rsid w:val="00995C1B"/>
    <w:rsid w:val="009960CB"/>
    <w:rsid w:val="0099761E"/>
    <w:rsid w:val="009A0B3E"/>
    <w:rsid w:val="009A1CF8"/>
    <w:rsid w:val="009A4196"/>
    <w:rsid w:val="009B1CE3"/>
    <w:rsid w:val="009B5019"/>
    <w:rsid w:val="009B59F0"/>
    <w:rsid w:val="009B77D0"/>
    <w:rsid w:val="009C1724"/>
    <w:rsid w:val="009C1FDA"/>
    <w:rsid w:val="009C34BD"/>
    <w:rsid w:val="009C44E7"/>
    <w:rsid w:val="009C5A10"/>
    <w:rsid w:val="009D0AD0"/>
    <w:rsid w:val="009D294D"/>
    <w:rsid w:val="009D3FB8"/>
    <w:rsid w:val="009E040C"/>
    <w:rsid w:val="009E2213"/>
    <w:rsid w:val="009E4B19"/>
    <w:rsid w:val="009E4FAF"/>
    <w:rsid w:val="009E5260"/>
    <w:rsid w:val="009F0635"/>
    <w:rsid w:val="009F0751"/>
    <w:rsid w:val="009F0D7D"/>
    <w:rsid w:val="00A03B07"/>
    <w:rsid w:val="00A03E2F"/>
    <w:rsid w:val="00A0609D"/>
    <w:rsid w:val="00A06B24"/>
    <w:rsid w:val="00A136FD"/>
    <w:rsid w:val="00A14756"/>
    <w:rsid w:val="00A15345"/>
    <w:rsid w:val="00A160E5"/>
    <w:rsid w:val="00A16455"/>
    <w:rsid w:val="00A17444"/>
    <w:rsid w:val="00A2061D"/>
    <w:rsid w:val="00A22D30"/>
    <w:rsid w:val="00A2476A"/>
    <w:rsid w:val="00A26258"/>
    <w:rsid w:val="00A30047"/>
    <w:rsid w:val="00A32A9C"/>
    <w:rsid w:val="00A35441"/>
    <w:rsid w:val="00A37946"/>
    <w:rsid w:val="00A40C63"/>
    <w:rsid w:val="00A42BF8"/>
    <w:rsid w:val="00A45346"/>
    <w:rsid w:val="00A53E41"/>
    <w:rsid w:val="00A5611B"/>
    <w:rsid w:val="00A60842"/>
    <w:rsid w:val="00A62D9D"/>
    <w:rsid w:val="00A6412E"/>
    <w:rsid w:val="00A641EE"/>
    <w:rsid w:val="00A6435F"/>
    <w:rsid w:val="00A67795"/>
    <w:rsid w:val="00A70418"/>
    <w:rsid w:val="00A72E88"/>
    <w:rsid w:val="00A72F85"/>
    <w:rsid w:val="00A74761"/>
    <w:rsid w:val="00A75BAC"/>
    <w:rsid w:val="00A77E24"/>
    <w:rsid w:val="00A81DC6"/>
    <w:rsid w:val="00A823BA"/>
    <w:rsid w:val="00A86283"/>
    <w:rsid w:val="00A86681"/>
    <w:rsid w:val="00A8773C"/>
    <w:rsid w:val="00A912E8"/>
    <w:rsid w:val="00A932C9"/>
    <w:rsid w:val="00A93AC4"/>
    <w:rsid w:val="00A970FF"/>
    <w:rsid w:val="00AA0638"/>
    <w:rsid w:val="00AA5257"/>
    <w:rsid w:val="00AA62AF"/>
    <w:rsid w:val="00AA68D5"/>
    <w:rsid w:val="00AB0AF7"/>
    <w:rsid w:val="00AB2EFD"/>
    <w:rsid w:val="00AB3CDD"/>
    <w:rsid w:val="00AB5A31"/>
    <w:rsid w:val="00AB6E90"/>
    <w:rsid w:val="00AC1D57"/>
    <w:rsid w:val="00AC23C5"/>
    <w:rsid w:val="00AC30C4"/>
    <w:rsid w:val="00AC39B7"/>
    <w:rsid w:val="00AC3DDD"/>
    <w:rsid w:val="00AC447D"/>
    <w:rsid w:val="00AC4494"/>
    <w:rsid w:val="00AC6F9F"/>
    <w:rsid w:val="00AC72F4"/>
    <w:rsid w:val="00AD0815"/>
    <w:rsid w:val="00AD4FA9"/>
    <w:rsid w:val="00AD56BF"/>
    <w:rsid w:val="00AD65F3"/>
    <w:rsid w:val="00AD6F22"/>
    <w:rsid w:val="00AE0C70"/>
    <w:rsid w:val="00AE16EA"/>
    <w:rsid w:val="00AE1B46"/>
    <w:rsid w:val="00AE3A19"/>
    <w:rsid w:val="00AE6848"/>
    <w:rsid w:val="00AE7385"/>
    <w:rsid w:val="00AF22A9"/>
    <w:rsid w:val="00AF2DD4"/>
    <w:rsid w:val="00AF3E97"/>
    <w:rsid w:val="00B0198F"/>
    <w:rsid w:val="00B02D04"/>
    <w:rsid w:val="00B076ED"/>
    <w:rsid w:val="00B132B4"/>
    <w:rsid w:val="00B13B2E"/>
    <w:rsid w:val="00B14E4A"/>
    <w:rsid w:val="00B15E10"/>
    <w:rsid w:val="00B15E9C"/>
    <w:rsid w:val="00B207AA"/>
    <w:rsid w:val="00B239C4"/>
    <w:rsid w:val="00B267A6"/>
    <w:rsid w:val="00B273AE"/>
    <w:rsid w:val="00B336DE"/>
    <w:rsid w:val="00B34028"/>
    <w:rsid w:val="00B34C1B"/>
    <w:rsid w:val="00B353ED"/>
    <w:rsid w:val="00B35D61"/>
    <w:rsid w:val="00B43F9F"/>
    <w:rsid w:val="00B469F0"/>
    <w:rsid w:val="00B50872"/>
    <w:rsid w:val="00B50CF8"/>
    <w:rsid w:val="00B514E5"/>
    <w:rsid w:val="00B52327"/>
    <w:rsid w:val="00B53C31"/>
    <w:rsid w:val="00B5515B"/>
    <w:rsid w:val="00B5601E"/>
    <w:rsid w:val="00B5608E"/>
    <w:rsid w:val="00B56098"/>
    <w:rsid w:val="00B569A1"/>
    <w:rsid w:val="00B57FD7"/>
    <w:rsid w:val="00B60499"/>
    <w:rsid w:val="00B606E7"/>
    <w:rsid w:val="00B64CB3"/>
    <w:rsid w:val="00B65680"/>
    <w:rsid w:val="00B66997"/>
    <w:rsid w:val="00B71597"/>
    <w:rsid w:val="00B740B8"/>
    <w:rsid w:val="00B74D78"/>
    <w:rsid w:val="00B7706A"/>
    <w:rsid w:val="00B81838"/>
    <w:rsid w:val="00B82354"/>
    <w:rsid w:val="00B83A25"/>
    <w:rsid w:val="00B849CC"/>
    <w:rsid w:val="00B850B8"/>
    <w:rsid w:val="00B907E2"/>
    <w:rsid w:val="00B94AB3"/>
    <w:rsid w:val="00BA11E0"/>
    <w:rsid w:val="00BA28FC"/>
    <w:rsid w:val="00BA34DC"/>
    <w:rsid w:val="00BA4C16"/>
    <w:rsid w:val="00BA516E"/>
    <w:rsid w:val="00BA7AF4"/>
    <w:rsid w:val="00BB207A"/>
    <w:rsid w:val="00BB20A8"/>
    <w:rsid w:val="00BB20D3"/>
    <w:rsid w:val="00BB7D4E"/>
    <w:rsid w:val="00BC798D"/>
    <w:rsid w:val="00BD0356"/>
    <w:rsid w:val="00BD1F5B"/>
    <w:rsid w:val="00BD42D8"/>
    <w:rsid w:val="00BD45E5"/>
    <w:rsid w:val="00BD474B"/>
    <w:rsid w:val="00BD59FC"/>
    <w:rsid w:val="00BD6EB0"/>
    <w:rsid w:val="00BD6FA7"/>
    <w:rsid w:val="00BD7631"/>
    <w:rsid w:val="00BE0036"/>
    <w:rsid w:val="00BE0B29"/>
    <w:rsid w:val="00BE2BA2"/>
    <w:rsid w:val="00BE2C87"/>
    <w:rsid w:val="00BE3D39"/>
    <w:rsid w:val="00BE408B"/>
    <w:rsid w:val="00BE435F"/>
    <w:rsid w:val="00BE5B1D"/>
    <w:rsid w:val="00BF2194"/>
    <w:rsid w:val="00C00030"/>
    <w:rsid w:val="00C03511"/>
    <w:rsid w:val="00C10711"/>
    <w:rsid w:val="00C15DC6"/>
    <w:rsid w:val="00C1662B"/>
    <w:rsid w:val="00C216B8"/>
    <w:rsid w:val="00C21B3E"/>
    <w:rsid w:val="00C23B13"/>
    <w:rsid w:val="00C244F7"/>
    <w:rsid w:val="00C3280E"/>
    <w:rsid w:val="00C33568"/>
    <w:rsid w:val="00C361AB"/>
    <w:rsid w:val="00C41A64"/>
    <w:rsid w:val="00C4271F"/>
    <w:rsid w:val="00C43A97"/>
    <w:rsid w:val="00C45C0F"/>
    <w:rsid w:val="00C468DC"/>
    <w:rsid w:val="00C46D15"/>
    <w:rsid w:val="00C508CE"/>
    <w:rsid w:val="00C51DE0"/>
    <w:rsid w:val="00C52082"/>
    <w:rsid w:val="00C5296D"/>
    <w:rsid w:val="00C56A42"/>
    <w:rsid w:val="00C572E1"/>
    <w:rsid w:val="00C62329"/>
    <w:rsid w:val="00C63610"/>
    <w:rsid w:val="00C6719E"/>
    <w:rsid w:val="00C675A2"/>
    <w:rsid w:val="00C72DB1"/>
    <w:rsid w:val="00C80240"/>
    <w:rsid w:val="00C834E2"/>
    <w:rsid w:val="00C86943"/>
    <w:rsid w:val="00C87F91"/>
    <w:rsid w:val="00C92BF1"/>
    <w:rsid w:val="00C92CC3"/>
    <w:rsid w:val="00C96641"/>
    <w:rsid w:val="00CA0217"/>
    <w:rsid w:val="00CA0625"/>
    <w:rsid w:val="00CA2C1E"/>
    <w:rsid w:val="00CA6123"/>
    <w:rsid w:val="00CA77F7"/>
    <w:rsid w:val="00CB04E3"/>
    <w:rsid w:val="00CB1666"/>
    <w:rsid w:val="00CB1FCA"/>
    <w:rsid w:val="00CB3355"/>
    <w:rsid w:val="00CB3649"/>
    <w:rsid w:val="00CB5250"/>
    <w:rsid w:val="00CB6A1A"/>
    <w:rsid w:val="00CB7211"/>
    <w:rsid w:val="00CC0D24"/>
    <w:rsid w:val="00CC21E7"/>
    <w:rsid w:val="00CC238F"/>
    <w:rsid w:val="00CC3FBC"/>
    <w:rsid w:val="00CC5BFF"/>
    <w:rsid w:val="00CC5EF0"/>
    <w:rsid w:val="00CC7275"/>
    <w:rsid w:val="00CD1F30"/>
    <w:rsid w:val="00CD3E06"/>
    <w:rsid w:val="00CD48AD"/>
    <w:rsid w:val="00CD6978"/>
    <w:rsid w:val="00CE5F83"/>
    <w:rsid w:val="00CE65A3"/>
    <w:rsid w:val="00CF02DD"/>
    <w:rsid w:val="00CF0EFD"/>
    <w:rsid w:val="00CF2AD4"/>
    <w:rsid w:val="00CF4BDE"/>
    <w:rsid w:val="00CF4F8D"/>
    <w:rsid w:val="00CF5DC8"/>
    <w:rsid w:val="00D000A2"/>
    <w:rsid w:val="00D01F0F"/>
    <w:rsid w:val="00D02A13"/>
    <w:rsid w:val="00D02F75"/>
    <w:rsid w:val="00D037F1"/>
    <w:rsid w:val="00D041B5"/>
    <w:rsid w:val="00D06D83"/>
    <w:rsid w:val="00D10181"/>
    <w:rsid w:val="00D124A5"/>
    <w:rsid w:val="00D12A8B"/>
    <w:rsid w:val="00D15DFC"/>
    <w:rsid w:val="00D163E8"/>
    <w:rsid w:val="00D17224"/>
    <w:rsid w:val="00D21BC9"/>
    <w:rsid w:val="00D23E9F"/>
    <w:rsid w:val="00D24139"/>
    <w:rsid w:val="00D2475E"/>
    <w:rsid w:val="00D266CD"/>
    <w:rsid w:val="00D3268D"/>
    <w:rsid w:val="00D35FE4"/>
    <w:rsid w:val="00D362ED"/>
    <w:rsid w:val="00D40D36"/>
    <w:rsid w:val="00D4368A"/>
    <w:rsid w:val="00D448F7"/>
    <w:rsid w:val="00D44A9C"/>
    <w:rsid w:val="00D4596E"/>
    <w:rsid w:val="00D46A6D"/>
    <w:rsid w:val="00D47B15"/>
    <w:rsid w:val="00D47CF5"/>
    <w:rsid w:val="00D5274E"/>
    <w:rsid w:val="00D53BED"/>
    <w:rsid w:val="00D54A24"/>
    <w:rsid w:val="00D54BF3"/>
    <w:rsid w:val="00D553AA"/>
    <w:rsid w:val="00D56B57"/>
    <w:rsid w:val="00D57754"/>
    <w:rsid w:val="00D57DB2"/>
    <w:rsid w:val="00D60D54"/>
    <w:rsid w:val="00D61628"/>
    <w:rsid w:val="00D61FBB"/>
    <w:rsid w:val="00D61FBD"/>
    <w:rsid w:val="00D63784"/>
    <w:rsid w:val="00D65E18"/>
    <w:rsid w:val="00D669B0"/>
    <w:rsid w:val="00D712B9"/>
    <w:rsid w:val="00D718BE"/>
    <w:rsid w:val="00D739A9"/>
    <w:rsid w:val="00D7460A"/>
    <w:rsid w:val="00D74BA5"/>
    <w:rsid w:val="00D7621F"/>
    <w:rsid w:val="00D76261"/>
    <w:rsid w:val="00D768E8"/>
    <w:rsid w:val="00D82B80"/>
    <w:rsid w:val="00D85F47"/>
    <w:rsid w:val="00D87756"/>
    <w:rsid w:val="00D9152F"/>
    <w:rsid w:val="00D920F5"/>
    <w:rsid w:val="00D93534"/>
    <w:rsid w:val="00D93636"/>
    <w:rsid w:val="00D95DFD"/>
    <w:rsid w:val="00DA2AB8"/>
    <w:rsid w:val="00DB072A"/>
    <w:rsid w:val="00DB39F4"/>
    <w:rsid w:val="00DB7DD4"/>
    <w:rsid w:val="00DC33DE"/>
    <w:rsid w:val="00DC45D2"/>
    <w:rsid w:val="00DD0C7D"/>
    <w:rsid w:val="00DD36B4"/>
    <w:rsid w:val="00DE01FB"/>
    <w:rsid w:val="00DE35A7"/>
    <w:rsid w:val="00DE4E62"/>
    <w:rsid w:val="00DE6C24"/>
    <w:rsid w:val="00DF20CF"/>
    <w:rsid w:val="00DF46F7"/>
    <w:rsid w:val="00DF5193"/>
    <w:rsid w:val="00DF6C11"/>
    <w:rsid w:val="00DF75C2"/>
    <w:rsid w:val="00E01717"/>
    <w:rsid w:val="00E0297C"/>
    <w:rsid w:val="00E04435"/>
    <w:rsid w:val="00E0592E"/>
    <w:rsid w:val="00E104ED"/>
    <w:rsid w:val="00E12181"/>
    <w:rsid w:val="00E12DFE"/>
    <w:rsid w:val="00E13EF2"/>
    <w:rsid w:val="00E141D5"/>
    <w:rsid w:val="00E16C13"/>
    <w:rsid w:val="00E179EB"/>
    <w:rsid w:val="00E17BBA"/>
    <w:rsid w:val="00E21D09"/>
    <w:rsid w:val="00E236E8"/>
    <w:rsid w:val="00E25F86"/>
    <w:rsid w:val="00E27DD1"/>
    <w:rsid w:val="00E3061C"/>
    <w:rsid w:val="00E3427A"/>
    <w:rsid w:val="00E35685"/>
    <w:rsid w:val="00E37522"/>
    <w:rsid w:val="00E43EB7"/>
    <w:rsid w:val="00E51B3E"/>
    <w:rsid w:val="00E520F5"/>
    <w:rsid w:val="00E539A2"/>
    <w:rsid w:val="00E53F29"/>
    <w:rsid w:val="00E601B6"/>
    <w:rsid w:val="00E60FF5"/>
    <w:rsid w:val="00E61AF8"/>
    <w:rsid w:val="00E62E85"/>
    <w:rsid w:val="00E63DFC"/>
    <w:rsid w:val="00E6552C"/>
    <w:rsid w:val="00E6675F"/>
    <w:rsid w:val="00E70513"/>
    <w:rsid w:val="00E73969"/>
    <w:rsid w:val="00E76E2B"/>
    <w:rsid w:val="00E76E7C"/>
    <w:rsid w:val="00E77DC1"/>
    <w:rsid w:val="00E803EB"/>
    <w:rsid w:val="00E80F23"/>
    <w:rsid w:val="00E81043"/>
    <w:rsid w:val="00E83400"/>
    <w:rsid w:val="00E843D7"/>
    <w:rsid w:val="00E846AA"/>
    <w:rsid w:val="00E9238E"/>
    <w:rsid w:val="00E95900"/>
    <w:rsid w:val="00EA029B"/>
    <w:rsid w:val="00EA27BD"/>
    <w:rsid w:val="00EA288F"/>
    <w:rsid w:val="00EA34FF"/>
    <w:rsid w:val="00EA4FD0"/>
    <w:rsid w:val="00EB018D"/>
    <w:rsid w:val="00EB039D"/>
    <w:rsid w:val="00EB18AE"/>
    <w:rsid w:val="00EB2F8D"/>
    <w:rsid w:val="00EB3BDC"/>
    <w:rsid w:val="00EC06D9"/>
    <w:rsid w:val="00EC0927"/>
    <w:rsid w:val="00EC09BC"/>
    <w:rsid w:val="00EC312A"/>
    <w:rsid w:val="00EC40DA"/>
    <w:rsid w:val="00ED0089"/>
    <w:rsid w:val="00ED0E2B"/>
    <w:rsid w:val="00ED3088"/>
    <w:rsid w:val="00ED30E1"/>
    <w:rsid w:val="00EE10B5"/>
    <w:rsid w:val="00EE24FC"/>
    <w:rsid w:val="00EE6122"/>
    <w:rsid w:val="00EF0F49"/>
    <w:rsid w:val="00EF2210"/>
    <w:rsid w:val="00F04385"/>
    <w:rsid w:val="00F102A1"/>
    <w:rsid w:val="00F10FC3"/>
    <w:rsid w:val="00F14058"/>
    <w:rsid w:val="00F26D22"/>
    <w:rsid w:val="00F30E40"/>
    <w:rsid w:val="00F32111"/>
    <w:rsid w:val="00F334E2"/>
    <w:rsid w:val="00F336CF"/>
    <w:rsid w:val="00F35FF1"/>
    <w:rsid w:val="00F3611E"/>
    <w:rsid w:val="00F37903"/>
    <w:rsid w:val="00F37A77"/>
    <w:rsid w:val="00F4057D"/>
    <w:rsid w:val="00F46628"/>
    <w:rsid w:val="00F501B8"/>
    <w:rsid w:val="00F51D21"/>
    <w:rsid w:val="00F52F47"/>
    <w:rsid w:val="00F53778"/>
    <w:rsid w:val="00F64814"/>
    <w:rsid w:val="00F66EA9"/>
    <w:rsid w:val="00F707DD"/>
    <w:rsid w:val="00F70DC6"/>
    <w:rsid w:val="00F73B83"/>
    <w:rsid w:val="00F82394"/>
    <w:rsid w:val="00F82E53"/>
    <w:rsid w:val="00F835F0"/>
    <w:rsid w:val="00F87831"/>
    <w:rsid w:val="00F87D11"/>
    <w:rsid w:val="00F91AA1"/>
    <w:rsid w:val="00F94D7B"/>
    <w:rsid w:val="00F967DA"/>
    <w:rsid w:val="00F97F7D"/>
    <w:rsid w:val="00FA099C"/>
    <w:rsid w:val="00FA7C86"/>
    <w:rsid w:val="00FB4044"/>
    <w:rsid w:val="00FB4C9D"/>
    <w:rsid w:val="00FB525F"/>
    <w:rsid w:val="00FB5C80"/>
    <w:rsid w:val="00FB6A1F"/>
    <w:rsid w:val="00FB6CF1"/>
    <w:rsid w:val="00FC183A"/>
    <w:rsid w:val="00FC26C0"/>
    <w:rsid w:val="00FC7C33"/>
    <w:rsid w:val="00FD0491"/>
    <w:rsid w:val="00FD3F9C"/>
    <w:rsid w:val="00FD5B09"/>
    <w:rsid w:val="00FE0F1D"/>
    <w:rsid w:val="00FE2023"/>
    <w:rsid w:val="00FE4706"/>
    <w:rsid w:val="00FE6491"/>
    <w:rsid w:val="00FF1EA2"/>
    <w:rsid w:val="00FF27C3"/>
    <w:rsid w:val="00FF3F54"/>
    <w:rsid w:val="00FF48C8"/>
    <w:rsid w:val="02065536"/>
    <w:rsid w:val="037047B4"/>
    <w:rsid w:val="04282981"/>
    <w:rsid w:val="04572A85"/>
    <w:rsid w:val="05974763"/>
    <w:rsid w:val="06987DBE"/>
    <w:rsid w:val="07544A4C"/>
    <w:rsid w:val="07685323"/>
    <w:rsid w:val="083F17CE"/>
    <w:rsid w:val="091940ED"/>
    <w:rsid w:val="0A4E1382"/>
    <w:rsid w:val="0ABB59A8"/>
    <w:rsid w:val="0B0F4B6A"/>
    <w:rsid w:val="0BEC714C"/>
    <w:rsid w:val="0C270C26"/>
    <w:rsid w:val="0C29650C"/>
    <w:rsid w:val="0D214D91"/>
    <w:rsid w:val="0D663809"/>
    <w:rsid w:val="0DF6004B"/>
    <w:rsid w:val="0EEF2575"/>
    <w:rsid w:val="11CF5607"/>
    <w:rsid w:val="123176B6"/>
    <w:rsid w:val="12450A49"/>
    <w:rsid w:val="127B3976"/>
    <w:rsid w:val="129A60BC"/>
    <w:rsid w:val="130C38D4"/>
    <w:rsid w:val="13791BAC"/>
    <w:rsid w:val="13A46040"/>
    <w:rsid w:val="13E04F32"/>
    <w:rsid w:val="14D03B75"/>
    <w:rsid w:val="1564457D"/>
    <w:rsid w:val="156A69D2"/>
    <w:rsid w:val="15E4673E"/>
    <w:rsid w:val="16DB384A"/>
    <w:rsid w:val="176D0AE7"/>
    <w:rsid w:val="18C967E3"/>
    <w:rsid w:val="197B7DBD"/>
    <w:rsid w:val="1ADD7E52"/>
    <w:rsid w:val="1B190BFB"/>
    <w:rsid w:val="1B2F0608"/>
    <w:rsid w:val="1BA12007"/>
    <w:rsid w:val="1BDD7A37"/>
    <w:rsid w:val="1CAD1409"/>
    <w:rsid w:val="1E632A33"/>
    <w:rsid w:val="1E744C5E"/>
    <w:rsid w:val="1F5B37D6"/>
    <w:rsid w:val="20132AE6"/>
    <w:rsid w:val="203935AC"/>
    <w:rsid w:val="20532B87"/>
    <w:rsid w:val="21287A4C"/>
    <w:rsid w:val="21422248"/>
    <w:rsid w:val="21911B4E"/>
    <w:rsid w:val="21E23436"/>
    <w:rsid w:val="220A2F1B"/>
    <w:rsid w:val="22444C73"/>
    <w:rsid w:val="235C32E7"/>
    <w:rsid w:val="23F813D5"/>
    <w:rsid w:val="24D51D8D"/>
    <w:rsid w:val="2596264B"/>
    <w:rsid w:val="269F3B2A"/>
    <w:rsid w:val="271F4262"/>
    <w:rsid w:val="2802137A"/>
    <w:rsid w:val="285146C0"/>
    <w:rsid w:val="28E77B37"/>
    <w:rsid w:val="28F35BE5"/>
    <w:rsid w:val="29981E36"/>
    <w:rsid w:val="29C953F7"/>
    <w:rsid w:val="2A4F23F0"/>
    <w:rsid w:val="2AB00E2F"/>
    <w:rsid w:val="2BE10967"/>
    <w:rsid w:val="2BF978A2"/>
    <w:rsid w:val="2D445B8E"/>
    <w:rsid w:val="2D682265"/>
    <w:rsid w:val="2D705ECE"/>
    <w:rsid w:val="2F3C1A4F"/>
    <w:rsid w:val="301078D7"/>
    <w:rsid w:val="304A3189"/>
    <w:rsid w:val="31375F99"/>
    <w:rsid w:val="31EB4A33"/>
    <w:rsid w:val="32040F4B"/>
    <w:rsid w:val="328F050B"/>
    <w:rsid w:val="329E04CA"/>
    <w:rsid w:val="33E77590"/>
    <w:rsid w:val="346B3012"/>
    <w:rsid w:val="35CB116D"/>
    <w:rsid w:val="35DD0ACE"/>
    <w:rsid w:val="3625447A"/>
    <w:rsid w:val="363C4568"/>
    <w:rsid w:val="364463D7"/>
    <w:rsid w:val="36702698"/>
    <w:rsid w:val="381D27A1"/>
    <w:rsid w:val="38736CCC"/>
    <w:rsid w:val="39E65AEE"/>
    <w:rsid w:val="3B2C537A"/>
    <w:rsid w:val="3CAB6665"/>
    <w:rsid w:val="3CC62B8C"/>
    <w:rsid w:val="3D8076B5"/>
    <w:rsid w:val="3E89387A"/>
    <w:rsid w:val="3ED776D7"/>
    <w:rsid w:val="3F7C1411"/>
    <w:rsid w:val="40941583"/>
    <w:rsid w:val="40AD3C9C"/>
    <w:rsid w:val="40E31390"/>
    <w:rsid w:val="42F67D01"/>
    <w:rsid w:val="42F67F29"/>
    <w:rsid w:val="44146B27"/>
    <w:rsid w:val="44BD5FF0"/>
    <w:rsid w:val="44E17437"/>
    <w:rsid w:val="451E32B8"/>
    <w:rsid w:val="458E6D78"/>
    <w:rsid w:val="45D905A8"/>
    <w:rsid w:val="46EA0944"/>
    <w:rsid w:val="480210F6"/>
    <w:rsid w:val="49331377"/>
    <w:rsid w:val="4A5B6C1D"/>
    <w:rsid w:val="4AF07FDA"/>
    <w:rsid w:val="4BC86790"/>
    <w:rsid w:val="4C782A79"/>
    <w:rsid w:val="4E0B64F2"/>
    <w:rsid w:val="4EA16D7C"/>
    <w:rsid w:val="4F0875F6"/>
    <w:rsid w:val="4F1F3933"/>
    <w:rsid w:val="4FA8751C"/>
    <w:rsid w:val="521467C0"/>
    <w:rsid w:val="528E30B4"/>
    <w:rsid w:val="52995C17"/>
    <w:rsid w:val="52E03864"/>
    <w:rsid w:val="543229FE"/>
    <w:rsid w:val="56592208"/>
    <w:rsid w:val="578D6C81"/>
    <w:rsid w:val="582113AC"/>
    <w:rsid w:val="5884497F"/>
    <w:rsid w:val="593D3FA4"/>
    <w:rsid w:val="5998715D"/>
    <w:rsid w:val="59B12FE0"/>
    <w:rsid w:val="5AAA5445"/>
    <w:rsid w:val="5D102B5E"/>
    <w:rsid w:val="5D795B4B"/>
    <w:rsid w:val="5E305278"/>
    <w:rsid w:val="5F1B7265"/>
    <w:rsid w:val="5FEC4B23"/>
    <w:rsid w:val="6050709E"/>
    <w:rsid w:val="60843CFB"/>
    <w:rsid w:val="62CC3865"/>
    <w:rsid w:val="63B32847"/>
    <w:rsid w:val="640E7A31"/>
    <w:rsid w:val="64192C50"/>
    <w:rsid w:val="64311FE2"/>
    <w:rsid w:val="64AE57BF"/>
    <w:rsid w:val="64B914DF"/>
    <w:rsid w:val="65547245"/>
    <w:rsid w:val="67E3705B"/>
    <w:rsid w:val="68023F40"/>
    <w:rsid w:val="686F2572"/>
    <w:rsid w:val="68B232E8"/>
    <w:rsid w:val="694C5A92"/>
    <w:rsid w:val="698E10EF"/>
    <w:rsid w:val="69D8199C"/>
    <w:rsid w:val="6A9A02CA"/>
    <w:rsid w:val="6BEA257C"/>
    <w:rsid w:val="6C03783D"/>
    <w:rsid w:val="6C542885"/>
    <w:rsid w:val="6D681AAD"/>
    <w:rsid w:val="6E046C71"/>
    <w:rsid w:val="6E65607F"/>
    <w:rsid w:val="6EC545C1"/>
    <w:rsid w:val="6EE23992"/>
    <w:rsid w:val="6F711CB2"/>
    <w:rsid w:val="6FA31D71"/>
    <w:rsid w:val="71266561"/>
    <w:rsid w:val="71B333E0"/>
    <w:rsid w:val="7240020A"/>
    <w:rsid w:val="72C21E41"/>
    <w:rsid w:val="7338493C"/>
    <w:rsid w:val="736F54EC"/>
    <w:rsid w:val="74FE6E85"/>
    <w:rsid w:val="75274F93"/>
    <w:rsid w:val="757835C5"/>
    <w:rsid w:val="75B77F98"/>
    <w:rsid w:val="75E243D6"/>
    <w:rsid w:val="763565FF"/>
    <w:rsid w:val="76A06334"/>
    <w:rsid w:val="76C8095E"/>
    <w:rsid w:val="78407F4C"/>
    <w:rsid w:val="784828C7"/>
    <w:rsid w:val="786657A1"/>
    <w:rsid w:val="7B443CC4"/>
    <w:rsid w:val="7C57787D"/>
    <w:rsid w:val="7CD42775"/>
    <w:rsid w:val="7D8C7BEF"/>
    <w:rsid w:val="7DDD42C8"/>
    <w:rsid w:val="7E11454A"/>
    <w:rsid w:val="7E137068"/>
    <w:rsid w:val="7E2C7AC4"/>
    <w:rsid w:val="7F2B2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0"/>
        <o:r id="V:Rule2" type="connector" idref="#_x0000_s1032"/>
        <o:r id="V:Rule3" type="connector" idref="#_x0000_s1043"/>
        <o:r id="V:Rule4" type="connector" idref="#自选图形 272"/>
        <o:r id="V:Rule5" type="connector" idref="#自选图形 273"/>
        <o:r id="V:Rule6" type="connector" idref="#自选图形 275"/>
        <o:r id="V:Rule7" type="connector" idref="#自选图形 276"/>
        <o:r id="V:Rule8" type="connector" idref="#自选图形 278"/>
        <o:r id="V:Rule9" type="connector" idref="#自选图形 182"/>
        <o:r id="V:Rule10" type="connector" idref="#自选图形 290"/>
        <o:r id="V:Rule11" type="connector" idref="#自选图形 298"/>
        <o:r id="V:Rule12" type="connector" idref="#自选图形 272"/>
        <o:r id="V:Rule13" type="connector" idref="#自选图形 273"/>
        <o:r id="V:Rule14" type="connector" idref="#自选图形 275"/>
        <o:r id="V:Rule15" type="connector" idref="#自选图形 276"/>
        <o:r id="V:Rule16" type="connector" idref="#自选图形 299"/>
        <o:r id="V:Rule17" type="connector" idref="#自选图形 278"/>
        <o:r id="V:Rule18" type="connector" idref="#自选图形 290"/>
        <o:r id="V:Rule19" type="connector" idref="#自选图形 298"/>
        <o:r id="V:Rule20" type="connector" idref="#自选图形 299"/>
        <o:r id="V:Rule21" type="connector" idref="#自选图形 318"/>
        <o:r id="V:Rule22" type="connector" idref="#自选图形 320"/>
        <o:r id="V:Rule23" type="connector" idref="#自选图形 318"/>
        <o:r id="V:Rule24" type="connector" idref="#自选图形 320"/>
        <o:r id="V:Rule25" type="connector" idref="#_x0000_s1106"/>
        <o:r id="V:Rule26" type="connector" idref="#自选图形 182"/>
        <o:r id="V:Rule27" type="connector" idref="#_x0000_s1116"/>
        <o:r id="V:Rule28" type="connector" idref="#_x0000_s1130"/>
        <o:r id="V:Rule29" type="connector" idref="#自选图形 182"/>
        <o:r id="V:Rule30" type="connector" idref="#自选图形 1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qFormat="1" w:uiPriority="0" w:name="endnote reference"/>
    <w:lsdException w:qFormat="1" w:uiPriority="0" w:name="endnote text"/>
    <w:lsdException w:uiPriority="99" w:name="table of authorities"/>
    <w:lsdException w:uiPriority="99" w:name="macro"/>
    <w:lsdException w:uiPriority="99" w:name="toa heading"/>
    <w:lsdException w:qFormat="1" w:uiPriority="0" w:semiHidden="0" w:name="List"/>
    <w:lsdException w:qFormat="1"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qFormat="1" w:uiPriority="0" w:name="Body Text First Indent 2"/>
    <w:lsdException w:uiPriority="99" w:name="Note Heading"/>
    <w:lsdException w:qFormat="1"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50"/>
    <w:qFormat/>
    <w:uiPriority w:val="99"/>
    <w:pPr>
      <w:keepNext/>
      <w:jc w:val="center"/>
      <w:outlineLvl w:val="0"/>
    </w:pPr>
    <w:rPr>
      <w:rFonts w:ascii="Times New Roman" w:hAnsi="Times New Roman" w:eastAsia="宋体" w:cs="Times New Roman"/>
      <w:b/>
      <w:bCs/>
      <w:sz w:val="28"/>
      <w:szCs w:val="24"/>
    </w:rPr>
  </w:style>
  <w:style w:type="paragraph" w:styleId="5">
    <w:name w:val="heading 2"/>
    <w:basedOn w:val="1"/>
    <w:next w:val="1"/>
    <w:link w:val="51"/>
    <w:unhideWhenUsed/>
    <w:qFormat/>
    <w:uiPriority w:val="0"/>
    <w:pPr>
      <w:keepNext/>
      <w:keepLines/>
      <w:widowControl/>
      <w:spacing w:beforeLines="50" w:line="480" w:lineRule="exact"/>
      <w:outlineLvl w:val="1"/>
    </w:pPr>
    <w:rPr>
      <w:rFonts w:ascii="Times New Roman" w:hAnsi="Times New Roman" w:eastAsia="黑体" w:cs="Times New Roman"/>
      <w:bCs/>
      <w:color w:val="000000"/>
      <w:sz w:val="30"/>
      <w:szCs w:val="32"/>
    </w:rPr>
  </w:style>
  <w:style w:type="paragraph" w:styleId="6">
    <w:name w:val="heading 3"/>
    <w:basedOn w:val="1"/>
    <w:next w:val="1"/>
    <w:link w:val="52"/>
    <w:unhideWhenUsed/>
    <w:qFormat/>
    <w:uiPriority w:val="0"/>
    <w:pPr>
      <w:keepNext/>
      <w:keepLines/>
      <w:spacing w:before="260" w:after="260" w:line="415" w:lineRule="auto"/>
      <w:outlineLvl w:val="2"/>
    </w:pPr>
    <w:rPr>
      <w:rFonts w:ascii="Times New Roman" w:hAnsi="Times New Roman" w:eastAsia="宋体" w:cs="Times New Roman"/>
      <w:b/>
      <w:bCs/>
      <w:sz w:val="32"/>
      <w:szCs w:val="32"/>
    </w:rPr>
  </w:style>
  <w:style w:type="paragraph" w:styleId="7">
    <w:name w:val="heading 4"/>
    <w:basedOn w:val="1"/>
    <w:next w:val="1"/>
    <w:link w:val="53"/>
    <w:unhideWhenUsed/>
    <w:qFormat/>
    <w:uiPriority w:val="0"/>
    <w:pPr>
      <w:keepNext/>
      <w:keepLines/>
      <w:widowControl/>
      <w:spacing w:beforeLines="50" w:line="480" w:lineRule="exact"/>
      <w:outlineLvl w:val="3"/>
    </w:pPr>
    <w:rPr>
      <w:rFonts w:ascii="Times New Roman" w:hAnsi="Times New Roman" w:eastAsia="黑体" w:cs="Times New Roman"/>
      <w:bCs/>
      <w:color w:val="000000"/>
      <w:sz w:val="28"/>
      <w:szCs w:val="28"/>
    </w:rPr>
  </w:style>
  <w:style w:type="paragraph" w:styleId="8">
    <w:name w:val="heading 5"/>
    <w:basedOn w:val="1"/>
    <w:next w:val="1"/>
    <w:link w:val="54"/>
    <w:unhideWhenUsed/>
    <w:qFormat/>
    <w:uiPriority w:val="0"/>
    <w:pPr>
      <w:keepNext/>
      <w:keepLines/>
      <w:widowControl/>
      <w:spacing w:before="280" w:after="290" w:line="374" w:lineRule="auto"/>
      <w:outlineLvl w:val="4"/>
    </w:pPr>
    <w:rPr>
      <w:rFonts w:ascii="Times New Roman" w:hAnsi="Times New Roman" w:eastAsia="宋体" w:cs="Times New Roman"/>
      <w:b/>
      <w:bCs/>
      <w:color w:val="000000"/>
      <w:sz w:val="28"/>
      <w:szCs w:val="28"/>
    </w:rPr>
  </w:style>
  <w:style w:type="paragraph" w:styleId="9">
    <w:name w:val="heading 6"/>
    <w:basedOn w:val="1"/>
    <w:next w:val="1"/>
    <w:link w:val="55"/>
    <w:unhideWhenUsed/>
    <w:qFormat/>
    <w:uiPriority w:val="0"/>
    <w:pPr>
      <w:keepNext/>
      <w:keepLines/>
      <w:widowControl/>
      <w:spacing w:before="240" w:after="64" w:line="319" w:lineRule="auto"/>
      <w:outlineLvl w:val="5"/>
    </w:pPr>
    <w:rPr>
      <w:rFonts w:ascii="Arial" w:hAnsi="Arial" w:eastAsia="黑体" w:cs="Times New Roman"/>
      <w:b/>
      <w:bCs/>
      <w:color w:val="000000"/>
      <w:sz w:val="24"/>
      <w:szCs w:val="24"/>
    </w:rPr>
  </w:style>
  <w:style w:type="paragraph" w:styleId="10">
    <w:name w:val="heading 7"/>
    <w:basedOn w:val="1"/>
    <w:next w:val="1"/>
    <w:link w:val="56"/>
    <w:unhideWhenUsed/>
    <w:qFormat/>
    <w:uiPriority w:val="0"/>
    <w:pPr>
      <w:keepNext/>
      <w:keepLines/>
      <w:widowControl/>
      <w:spacing w:before="240" w:after="64" w:line="319" w:lineRule="auto"/>
      <w:outlineLvl w:val="6"/>
    </w:pPr>
    <w:rPr>
      <w:rFonts w:ascii="Times New Roman" w:hAnsi="Times New Roman" w:eastAsia="宋体" w:cs="Times New Roman"/>
      <w:b/>
      <w:bCs/>
      <w:color w:val="000000"/>
      <w:sz w:val="24"/>
      <w:szCs w:val="24"/>
    </w:rPr>
  </w:style>
  <w:style w:type="paragraph" w:styleId="11">
    <w:name w:val="heading 8"/>
    <w:basedOn w:val="1"/>
    <w:next w:val="1"/>
    <w:link w:val="57"/>
    <w:unhideWhenUsed/>
    <w:qFormat/>
    <w:uiPriority w:val="0"/>
    <w:pPr>
      <w:keepNext/>
      <w:keepLines/>
      <w:widowControl/>
      <w:spacing w:before="240" w:after="64" w:line="319" w:lineRule="auto"/>
      <w:outlineLvl w:val="7"/>
    </w:pPr>
    <w:rPr>
      <w:rFonts w:ascii="Arial" w:hAnsi="Arial" w:eastAsia="黑体" w:cs="Times New Roman"/>
      <w:color w:val="000000"/>
      <w:sz w:val="24"/>
      <w:szCs w:val="24"/>
    </w:rPr>
  </w:style>
  <w:style w:type="paragraph" w:styleId="12">
    <w:name w:val="heading 9"/>
    <w:basedOn w:val="1"/>
    <w:next w:val="1"/>
    <w:link w:val="58"/>
    <w:unhideWhenUsed/>
    <w:qFormat/>
    <w:uiPriority w:val="0"/>
    <w:pPr>
      <w:keepNext/>
      <w:keepLines/>
      <w:widowControl/>
      <w:spacing w:beforeLines="50" w:after="64" w:line="400" w:lineRule="exact"/>
      <w:jc w:val="center"/>
      <w:outlineLvl w:val="8"/>
    </w:pPr>
    <w:rPr>
      <w:rFonts w:ascii="Times New Roman" w:hAnsi="Times New Roman" w:eastAsia="宋体" w:cs="Times New Roman"/>
      <w:color w:val="000000"/>
      <w:sz w:val="24"/>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link w:val="240"/>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3">
    <w:name w:val="Char Char Char Char Char Char1 Char Char Char Char"/>
    <w:basedOn w:val="1"/>
    <w:next w:val="1"/>
    <w:qFormat/>
    <w:uiPriority w:val="0"/>
    <w:pPr>
      <w:spacing w:line="360" w:lineRule="auto"/>
      <w:ind w:firstLine="200"/>
    </w:pPr>
    <w:rPr>
      <w:rFonts w:ascii="Times New Roman" w:eastAsia="宋体"/>
    </w:rPr>
  </w:style>
  <w:style w:type="paragraph" w:styleId="13">
    <w:name w:val="List 3"/>
    <w:basedOn w:val="1"/>
    <w:qFormat/>
    <w:uiPriority w:val="0"/>
    <w:pPr>
      <w:spacing w:line="300" w:lineRule="exact"/>
      <w:jc w:val="center"/>
    </w:pPr>
    <w:rPr>
      <w:rFonts w:ascii="Times New Roman" w:hAnsi="Times New Roman" w:eastAsia="宋体" w:cs="Times New Roman"/>
      <w:kern w:val="0"/>
      <w:szCs w:val="20"/>
    </w:rPr>
  </w:style>
  <w:style w:type="paragraph" w:styleId="14">
    <w:name w:val="Normal Indent"/>
    <w:basedOn w:val="1"/>
    <w:next w:val="15"/>
    <w:link w:val="59"/>
    <w:unhideWhenUsed/>
    <w:qFormat/>
    <w:uiPriority w:val="0"/>
    <w:pPr>
      <w:adjustRightInd w:val="0"/>
      <w:spacing w:line="320" w:lineRule="atLeast"/>
      <w:ind w:firstLine="420"/>
    </w:pPr>
    <w:rPr>
      <w:rFonts w:ascii="Times New Roman" w:hAnsi="Times New Roman" w:eastAsia="宋体" w:cs="Times New Roman"/>
      <w:kern w:val="0"/>
      <w:sz w:val="20"/>
      <w:szCs w:val="20"/>
    </w:rPr>
  </w:style>
  <w:style w:type="paragraph" w:styleId="15">
    <w:name w:val="Body Text First Indent 2"/>
    <w:basedOn w:val="7"/>
    <w:next w:val="1"/>
    <w:link w:val="68"/>
    <w:semiHidden/>
    <w:unhideWhenUsed/>
    <w:qFormat/>
    <w:uiPriority w:val="0"/>
    <w:pPr>
      <w:spacing w:after="120" w:line="240" w:lineRule="auto"/>
      <w:ind w:left="420" w:leftChars="200" w:firstLine="420" w:firstLineChars="200"/>
    </w:pPr>
    <w:rPr>
      <w:sz w:val="21"/>
    </w:rPr>
  </w:style>
  <w:style w:type="paragraph" w:styleId="16">
    <w:name w:val="caption"/>
    <w:basedOn w:val="1"/>
    <w:next w:val="1"/>
    <w:link w:val="222"/>
    <w:qFormat/>
    <w:uiPriority w:val="0"/>
    <w:rPr>
      <w:rFonts w:ascii="Arial" w:hAnsi="Arial" w:eastAsia="黑体" w:cs="Arial"/>
      <w:sz w:val="20"/>
      <w:szCs w:val="20"/>
    </w:rPr>
  </w:style>
  <w:style w:type="paragraph" w:styleId="17">
    <w:name w:val="List Bullet"/>
    <w:basedOn w:val="1"/>
    <w:semiHidden/>
    <w:unhideWhenUsed/>
    <w:qFormat/>
    <w:uiPriority w:val="99"/>
    <w:pPr>
      <w:numPr>
        <w:ilvl w:val="0"/>
        <w:numId w:val="1"/>
      </w:numPr>
      <w:contextualSpacing/>
    </w:pPr>
    <w:rPr>
      <w:rFonts w:ascii="Times New Roman" w:hAnsi="Times New Roman" w:eastAsia="宋体" w:cs="Times New Roman"/>
      <w:szCs w:val="20"/>
    </w:rPr>
  </w:style>
  <w:style w:type="paragraph" w:styleId="18">
    <w:name w:val="Document Map"/>
    <w:basedOn w:val="1"/>
    <w:link w:val="127"/>
    <w:semiHidden/>
    <w:unhideWhenUsed/>
    <w:qFormat/>
    <w:uiPriority w:val="0"/>
    <w:pPr>
      <w:shd w:val="clear" w:color="auto" w:fill="000080"/>
    </w:pPr>
    <w:rPr>
      <w:rFonts w:ascii="Times New Roman" w:hAnsi="Times New Roman" w:eastAsia="宋体" w:cs="Times New Roman"/>
      <w:kern w:val="0"/>
      <w:sz w:val="20"/>
      <w:szCs w:val="24"/>
    </w:rPr>
  </w:style>
  <w:style w:type="paragraph" w:styleId="19">
    <w:name w:val="annotation text"/>
    <w:basedOn w:val="1"/>
    <w:link w:val="128"/>
    <w:semiHidden/>
    <w:unhideWhenUsed/>
    <w:qFormat/>
    <w:uiPriority w:val="0"/>
    <w:pPr>
      <w:jc w:val="left"/>
    </w:pPr>
    <w:rPr>
      <w:rFonts w:ascii="Times New Roman" w:hAnsi="Times New Roman" w:eastAsia="宋体" w:cs="Times New Roman"/>
      <w:kern w:val="0"/>
      <w:sz w:val="20"/>
      <w:szCs w:val="24"/>
    </w:rPr>
  </w:style>
  <w:style w:type="paragraph" w:styleId="20">
    <w:name w:val="Body Text 3"/>
    <w:basedOn w:val="1"/>
    <w:link w:val="185"/>
    <w:qFormat/>
    <w:uiPriority w:val="0"/>
    <w:pPr>
      <w:spacing w:after="120"/>
    </w:pPr>
    <w:rPr>
      <w:rFonts w:ascii="Times New Roman" w:hAnsi="Times New Roman" w:eastAsia="宋体" w:cs="Times New Roman"/>
      <w:sz w:val="16"/>
      <w:szCs w:val="16"/>
    </w:rPr>
  </w:style>
  <w:style w:type="paragraph" w:styleId="21">
    <w:name w:val="Body Text"/>
    <w:basedOn w:val="1"/>
    <w:link w:val="123"/>
    <w:unhideWhenUsed/>
    <w:qFormat/>
    <w:uiPriority w:val="0"/>
    <w:pPr>
      <w:spacing w:after="120"/>
    </w:pPr>
    <w:rPr>
      <w:rFonts w:ascii="Times New Roman" w:hAnsi="Times New Roman" w:eastAsia="宋体" w:cs="Times New Roman"/>
      <w:szCs w:val="24"/>
    </w:rPr>
  </w:style>
  <w:style w:type="paragraph" w:styleId="22">
    <w:name w:val="Body Text Indent"/>
    <w:basedOn w:val="1"/>
    <w:next w:val="1"/>
    <w:link w:val="133"/>
    <w:unhideWhenUsed/>
    <w:qFormat/>
    <w:uiPriority w:val="0"/>
    <w:pPr>
      <w:spacing w:line="320" w:lineRule="exact"/>
      <w:ind w:firstLine="113"/>
      <w:jc w:val="center"/>
    </w:pPr>
    <w:rPr>
      <w:rFonts w:ascii="宋体" w:hAnsi="宋体" w:eastAsia="宋体" w:cs="Times New Roman"/>
      <w:kern w:val="0"/>
      <w:sz w:val="24"/>
      <w:szCs w:val="24"/>
    </w:rPr>
  </w:style>
  <w:style w:type="paragraph" w:styleId="23">
    <w:name w:val="Block Text"/>
    <w:basedOn w:val="1"/>
    <w:qFormat/>
    <w:uiPriority w:val="0"/>
    <w:pPr>
      <w:widowControl/>
      <w:spacing w:line="360" w:lineRule="auto"/>
      <w:ind w:left="87" w:right="2" w:rightChars="2" w:firstLine="585"/>
    </w:pPr>
    <w:rPr>
      <w:rFonts w:ascii="仿宋_GB2312" w:hAnsi="Times New Roman" w:eastAsia="仿宋_GB2312" w:cs="Times New Roman"/>
      <w:kern w:val="0"/>
      <w:sz w:val="28"/>
      <w:szCs w:val="20"/>
    </w:rPr>
  </w:style>
  <w:style w:type="paragraph" w:styleId="24">
    <w:name w:val="List Bullet 2"/>
    <w:basedOn w:val="1"/>
    <w:qFormat/>
    <w:uiPriority w:val="0"/>
    <w:pPr>
      <w:spacing w:after="40"/>
      <w:jc w:val="center"/>
    </w:pPr>
    <w:rPr>
      <w:rFonts w:ascii="宋体" w:hAnsi="宋体" w:eastAsia="宋体" w:cs="Times New Roman"/>
      <w:szCs w:val="24"/>
    </w:rPr>
  </w:style>
  <w:style w:type="paragraph" w:styleId="25">
    <w:name w:val="Plain Text"/>
    <w:basedOn w:val="1"/>
    <w:next w:val="1"/>
    <w:link w:val="130"/>
    <w:unhideWhenUsed/>
    <w:qFormat/>
    <w:uiPriority w:val="0"/>
    <w:pPr>
      <w:spacing w:line="440" w:lineRule="exact"/>
      <w:ind w:firstLine="200" w:firstLineChars="200"/>
    </w:pPr>
    <w:rPr>
      <w:rFonts w:ascii="宋体" w:hAnsi="Courier New" w:eastAsia="仿宋_GB2312" w:cs="Times New Roman"/>
      <w:kern w:val="0"/>
      <w:sz w:val="28"/>
      <w:szCs w:val="21"/>
    </w:rPr>
  </w:style>
  <w:style w:type="paragraph" w:styleId="26">
    <w:name w:val="Date"/>
    <w:basedOn w:val="1"/>
    <w:next w:val="1"/>
    <w:link w:val="134"/>
    <w:unhideWhenUsed/>
    <w:qFormat/>
    <w:uiPriority w:val="0"/>
    <w:pPr>
      <w:ind w:left="100" w:leftChars="2500"/>
    </w:pPr>
    <w:rPr>
      <w:rFonts w:ascii="Times New Roman" w:hAnsi="Times New Roman" w:eastAsia="宋体" w:cs="Times New Roman"/>
      <w:kern w:val="0"/>
      <w:sz w:val="20"/>
      <w:szCs w:val="24"/>
    </w:rPr>
  </w:style>
  <w:style w:type="paragraph" w:styleId="27">
    <w:name w:val="Body Text Indent 2"/>
    <w:basedOn w:val="1"/>
    <w:link w:val="126"/>
    <w:unhideWhenUsed/>
    <w:qFormat/>
    <w:uiPriority w:val="0"/>
    <w:pPr>
      <w:ind w:firstLine="645"/>
    </w:pPr>
    <w:rPr>
      <w:rFonts w:ascii="Times New Roman" w:hAnsi="Times New Roman" w:eastAsia="宋体" w:cs="Times New Roman"/>
      <w:kern w:val="0"/>
      <w:sz w:val="28"/>
      <w:szCs w:val="24"/>
    </w:rPr>
  </w:style>
  <w:style w:type="paragraph" w:styleId="28">
    <w:name w:val="endnote text"/>
    <w:basedOn w:val="1"/>
    <w:link w:val="135"/>
    <w:semiHidden/>
    <w:unhideWhenUsed/>
    <w:qFormat/>
    <w:uiPriority w:val="0"/>
    <w:pPr>
      <w:snapToGrid w:val="0"/>
      <w:jc w:val="left"/>
    </w:pPr>
    <w:rPr>
      <w:rFonts w:ascii="Times New Roman" w:hAnsi="Times New Roman" w:eastAsia="宋体" w:cs="Times New Roman"/>
      <w:kern w:val="0"/>
      <w:sz w:val="20"/>
      <w:szCs w:val="24"/>
    </w:rPr>
  </w:style>
  <w:style w:type="paragraph" w:styleId="29">
    <w:name w:val="Balloon Text"/>
    <w:basedOn w:val="1"/>
    <w:link w:val="125"/>
    <w:semiHidden/>
    <w:unhideWhenUsed/>
    <w:qFormat/>
    <w:uiPriority w:val="0"/>
    <w:rPr>
      <w:rFonts w:ascii="Times New Roman" w:hAnsi="Times New Roman" w:eastAsia="宋体" w:cs="Times New Roman"/>
      <w:kern w:val="0"/>
      <w:sz w:val="18"/>
      <w:szCs w:val="18"/>
    </w:rPr>
  </w:style>
  <w:style w:type="paragraph" w:styleId="30">
    <w:name w:val="footer"/>
    <w:basedOn w:val="1"/>
    <w:link w:val="132"/>
    <w:unhideWhenUsed/>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31">
    <w:name w:val="header"/>
    <w:basedOn w:val="1"/>
    <w:link w:val="131"/>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32">
    <w:name w:val="toc 1"/>
    <w:basedOn w:val="1"/>
    <w:next w:val="1"/>
    <w:qFormat/>
    <w:uiPriority w:val="0"/>
    <w:pPr>
      <w:spacing w:line="240" w:lineRule="exact"/>
      <w:jc w:val="center"/>
    </w:pPr>
    <w:rPr>
      <w:rFonts w:ascii="Times New Roman" w:hAnsi="Times New Roman" w:eastAsia="宋体" w:cs="Times New Roman"/>
      <w:szCs w:val="24"/>
    </w:rPr>
  </w:style>
  <w:style w:type="paragraph" w:styleId="33">
    <w:name w:val="List"/>
    <w:basedOn w:val="1"/>
    <w:unhideWhenUsed/>
    <w:qFormat/>
    <w:uiPriority w:val="0"/>
    <w:pPr>
      <w:spacing w:line="320" w:lineRule="exact"/>
      <w:jc w:val="center"/>
    </w:pPr>
    <w:rPr>
      <w:rFonts w:ascii="Times New Roman" w:hAnsi="Times New Roman" w:eastAsia="宋体" w:cs="Times New Roman"/>
      <w:sz w:val="20"/>
      <w:szCs w:val="24"/>
    </w:rPr>
  </w:style>
  <w:style w:type="paragraph" w:styleId="34">
    <w:name w:val="Body Text Indent 3"/>
    <w:basedOn w:val="1"/>
    <w:link w:val="129"/>
    <w:unhideWhenUsed/>
    <w:qFormat/>
    <w:uiPriority w:val="0"/>
    <w:pPr>
      <w:ind w:firstLine="549" w:firstLineChars="200"/>
    </w:pPr>
    <w:rPr>
      <w:rFonts w:ascii="宋体" w:hAnsi="宋体" w:eastAsia="宋体" w:cs="Times New Roman"/>
      <w:kern w:val="0"/>
      <w:sz w:val="28"/>
      <w:szCs w:val="24"/>
    </w:rPr>
  </w:style>
  <w:style w:type="paragraph" w:styleId="35">
    <w:name w:val="toc 2"/>
    <w:basedOn w:val="1"/>
    <w:next w:val="1"/>
    <w:semiHidden/>
    <w:qFormat/>
    <w:uiPriority w:val="0"/>
    <w:pPr>
      <w:ind w:left="210"/>
      <w:jc w:val="left"/>
    </w:pPr>
    <w:rPr>
      <w:rFonts w:ascii="Times New Roman" w:hAnsi="Times New Roman" w:eastAsia="宋体" w:cs="Times New Roman"/>
      <w:smallCaps/>
      <w:sz w:val="20"/>
      <w:szCs w:val="20"/>
    </w:rPr>
  </w:style>
  <w:style w:type="paragraph" w:styleId="36">
    <w:name w:val="Body Text 2"/>
    <w:basedOn w:val="1"/>
    <w:link w:val="136"/>
    <w:unhideWhenUsed/>
    <w:qFormat/>
    <w:uiPriority w:val="0"/>
    <w:pPr>
      <w:jc w:val="center"/>
    </w:pPr>
    <w:rPr>
      <w:rFonts w:ascii="Times New Roman" w:hAnsi="Times New Roman" w:eastAsia="宋体" w:cs="Times New Roman"/>
      <w:b/>
      <w:bCs/>
      <w:w w:val="150"/>
      <w:kern w:val="0"/>
      <w:sz w:val="84"/>
      <w:szCs w:val="24"/>
    </w:rPr>
  </w:style>
  <w:style w:type="paragraph" w:styleId="37">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38">
    <w:name w:val="annotation subject"/>
    <w:basedOn w:val="19"/>
    <w:next w:val="19"/>
    <w:link w:val="154"/>
    <w:semiHidden/>
    <w:qFormat/>
    <w:uiPriority w:val="0"/>
    <w:rPr>
      <w:rFonts w:asciiTheme="minorHAnsi" w:hAnsiTheme="minorHAnsi" w:cstheme="minorBidi"/>
      <w:b/>
      <w:bCs/>
      <w:kern w:val="2"/>
      <w:sz w:val="21"/>
      <w:szCs w:val="22"/>
    </w:rPr>
  </w:style>
  <w:style w:type="paragraph" w:styleId="39">
    <w:name w:val="Body Text First Indent"/>
    <w:basedOn w:val="21"/>
    <w:link w:val="124"/>
    <w:unhideWhenUsed/>
    <w:qFormat/>
    <w:uiPriority w:val="0"/>
    <w:pPr>
      <w:ind w:firstLine="420" w:firstLineChars="100"/>
    </w:pPr>
    <w:rPr>
      <w:kern w:val="0"/>
      <w:sz w:val="20"/>
    </w:rPr>
  </w:style>
  <w:style w:type="table" w:styleId="41">
    <w:name w:val="Table Grid"/>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rPr>
  </w:style>
  <w:style w:type="character" w:styleId="44">
    <w:name w:val="endnote reference"/>
    <w:semiHidden/>
    <w:unhideWhenUsed/>
    <w:qFormat/>
    <w:uiPriority w:val="0"/>
    <w:rPr>
      <w:vertAlign w:val="superscript"/>
    </w:rPr>
  </w:style>
  <w:style w:type="character" w:styleId="45">
    <w:name w:val="page number"/>
    <w:basedOn w:val="42"/>
    <w:qFormat/>
    <w:uiPriority w:val="0"/>
  </w:style>
  <w:style w:type="character" w:styleId="46">
    <w:name w:val="FollowedHyperlink"/>
    <w:basedOn w:val="42"/>
    <w:semiHidden/>
    <w:unhideWhenUsed/>
    <w:qFormat/>
    <w:uiPriority w:val="99"/>
    <w:rPr>
      <w:color w:val="800080" w:themeColor="followedHyperlink"/>
      <w:u w:val="single"/>
    </w:rPr>
  </w:style>
  <w:style w:type="character" w:styleId="47">
    <w:name w:val="Emphasis"/>
    <w:basedOn w:val="42"/>
    <w:qFormat/>
    <w:uiPriority w:val="20"/>
    <w:rPr>
      <w:i/>
      <w:iCs/>
    </w:rPr>
  </w:style>
  <w:style w:type="character" w:styleId="48">
    <w:name w:val="Hyperlink"/>
    <w:unhideWhenUsed/>
    <w:qFormat/>
    <w:uiPriority w:val="0"/>
    <w:rPr>
      <w:color w:val="0000FF"/>
      <w:u w:val="single"/>
    </w:rPr>
  </w:style>
  <w:style w:type="character" w:styleId="49">
    <w:name w:val="annotation reference"/>
    <w:basedOn w:val="42"/>
    <w:semiHidden/>
    <w:qFormat/>
    <w:uiPriority w:val="0"/>
    <w:rPr>
      <w:sz w:val="21"/>
      <w:szCs w:val="21"/>
    </w:rPr>
  </w:style>
  <w:style w:type="character" w:customStyle="1" w:styleId="50">
    <w:name w:val="标题 1 Char"/>
    <w:basedOn w:val="42"/>
    <w:link w:val="4"/>
    <w:qFormat/>
    <w:uiPriority w:val="99"/>
    <w:rPr>
      <w:rFonts w:ascii="Times New Roman" w:hAnsi="Times New Roman" w:eastAsia="宋体" w:cs="Times New Roman"/>
      <w:b/>
      <w:bCs/>
      <w:sz w:val="28"/>
      <w:szCs w:val="24"/>
    </w:rPr>
  </w:style>
  <w:style w:type="character" w:customStyle="1" w:styleId="51">
    <w:name w:val="标题 2 Char"/>
    <w:basedOn w:val="42"/>
    <w:link w:val="5"/>
    <w:qFormat/>
    <w:uiPriority w:val="0"/>
    <w:rPr>
      <w:rFonts w:ascii="Times New Roman" w:hAnsi="Times New Roman" w:eastAsia="黑体" w:cs="Times New Roman"/>
      <w:bCs/>
      <w:color w:val="000000"/>
      <w:sz w:val="30"/>
      <w:szCs w:val="32"/>
    </w:rPr>
  </w:style>
  <w:style w:type="character" w:customStyle="1" w:styleId="52">
    <w:name w:val="标题 3 Char"/>
    <w:basedOn w:val="42"/>
    <w:link w:val="6"/>
    <w:qFormat/>
    <w:uiPriority w:val="0"/>
    <w:rPr>
      <w:rFonts w:ascii="Times New Roman" w:hAnsi="Times New Roman" w:eastAsia="宋体" w:cs="Times New Roman"/>
      <w:b/>
      <w:bCs/>
      <w:sz w:val="32"/>
      <w:szCs w:val="32"/>
    </w:rPr>
  </w:style>
  <w:style w:type="character" w:customStyle="1" w:styleId="53">
    <w:name w:val="标题 4 Char"/>
    <w:basedOn w:val="42"/>
    <w:link w:val="7"/>
    <w:qFormat/>
    <w:uiPriority w:val="0"/>
    <w:rPr>
      <w:rFonts w:ascii="Times New Roman" w:hAnsi="Times New Roman" w:eastAsia="黑体" w:cs="Times New Roman"/>
      <w:bCs/>
      <w:color w:val="000000"/>
      <w:sz w:val="28"/>
      <w:szCs w:val="28"/>
    </w:rPr>
  </w:style>
  <w:style w:type="character" w:customStyle="1" w:styleId="54">
    <w:name w:val="标题 5 Char"/>
    <w:basedOn w:val="42"/>
    <w:link w:val="8"/>
    <w:qFormat/>
    <w:uiPriority w:val="0"/>
    <w:rPr>
      <w:rFonts w:ascii="Times New Roman" w:hAnsi="Times New Roman" w:eastAsia="宋体" w:cs="Times New Roman"/>
      <w:b/>
      <w:bCs/>
      <w:color w:val="000000"/>
      <w:sz w:val="28"/>
      <w:szCs w:val="28"/>
    </w:rPr>
  </w:style>
  <w:style w:type="character" w:customStyle="1" w:styleId="55">
    <w:name w:val="标题 6 Char"/>
    <w:basedOn w:val="42"/>
    <w:link w:val="9"/>
    <w:qFormat/>
    <w:uiPriority w:val="0"/>
    <w:rPr>
      <w:rFonts w:ascii="Arial" w:hAnsi="Arial" w:eastAsia="黑体" w:cs="Times New Roman"/>
      <w:b/>
      <w:bCs/>
      <w:color w:val="000000"/>
      <w:sz w:val="24"/>
      <w:szCs w:val="24"/>
    </w:rPr>
  </w:style>
  <w:style w:type="character" w:customStyle="1" w:styleId="56">
    <w:name w:val="标题 7 Char"/>
    <w:basedOn w:val="42"/>
    <w:link w:val="10"/>
    <w:qFormat/>
    <w:uiPriority w:val="0"/>
    <w:rPr>
      <w:rFonts w:ascii="Times New Roman" w:hAnsi="Times New Roman" w:eastAsia="宋体" w:cs="Times New Roman"/>
      <w:b/>
      <w:bCs/>
      <w:color w:val="000000"/>
      <w:sz w:val="24"/>
      <w:szCs w:val="24"/>
    </w:rPr>
  </w:style>
  <w:style w:type="character" w:customStyle="1" w:styleId="57">
    <w:name w:val="标题 8 Char"/>
    <w:basedOn w:val="42"/>
    <w:link w:val="11"/>
    <w:qFormat/>
    <w:uiPriority w:val="0"/>
    <w:rPr>
      <w:rFonts w:ascii="Arial" w:hAnsi="Arial" w:eastAsia="黑体" w:cs="Times New Roman"/>
      <w:color w:val="000000"/>
      <w:sz w:val="24"/>
      <w:szCs w:val="24"/>
    </w:rPr>
  </w:style>
  <w:style w:type="character" w:customStyle="1" w:styleId="58">
    <w:name w:val="标题 9 Char"/>
    <w:basedOn w:val="42"/>
    <w:link w:val="12"/>
    <w:qFormat/>
    <w:uiPriority w:val="0"/>
    <w:rPr>
      <w:rFonts w:ascii="Times New Roman" w:hAnsi="Times New Roman" w:eastAsia="宋体" w:cs="Times New Roman"/>
      <w:color w:val="000000"/>
      <w:sz w:val="24"/>
      <w:szCs w:val="21"/>
    </w:rPr>
  </w:style>
  <w:style w:type="character" w:customStyle="1" w:styleId="59">
    <w:name w:val="正文缩进 Char"/>
    <w:link w:val="14"/>
    <w:qFormat/>
    <w:locked/>
    <w:uiPriority w:val="0"/>
    <w:rPr>
      <w:rFonts w:ascii="Times New Roman" w:hAnsi="Times New Roman" w:eastAsia="宋体" w:cs="Times New Roman"/>
      <w:kern w:val="0"/>
      <w:sz w:val="20"/>
      <w:szCs w:val="20"/>
    </w:rPr>
  </w:style>
  <w:style w:type="character" w:customStyle="1" w:styleId="60">
    <w:name w:val="批注文字 Char"/>
    <w:basedOn w:val="42"/>
    <w:qFormat/>
    <w:uiPriority w:val="0"/>
  </w:style>
  <w:style w:type="character" w:customStyle="1" w:styleId="61">
    <w:name w:val="页眉 Char"/>
    <w:basedOn w:val="42"/>
    <w:qFormat/>
    <w:uiPriority w:val="0"/>
    <w:rPr>
      <w:sz w:val="18"/>
      <w:szCs w:val="18"/>
    </w:rPr>
  </w:style>
  <w:style w:type="character" w:customStyle="1" w:styleId="62">
    <w:name w:val="页脚 Char"/>
    <w:basedOn w:val="42"/>
    <w:qFormat/>
    <w:uiPriority w:val="0"/>
    <w:rPr>
      <w:sz w:val="18"/>
      <w:szCs w:val="18"/>
    </w:rPr>
  </w:style>
  <w:style w:type="character" w:customStyle="1" w:styleId="63">
    <w:name w:val="尾注文本 Char"/>
    <w:basedOn w:val="42"/>
    <w:semiHidden/>
    <w:qFormat/>
    <w:uiPriority w:val="0"/>
  </w:style>
  <w:style w:type="character" w:customStyle="1" w:styleId="64">
    <w:name w:val="正文文本 Char"/>
    <w:basedOn w:val="42"/>
    <w:qFormat/>
    <w:uiPriority w:val="0"/>
  </w:style>
  <w:style w:type="character" w:customStyle="1" w:styleId="65">
    <w:name w:val="正文文本缩进 Char"/>
    <w:basedOn w:val="42"/>
    <w:qFormat/>
    <w:uiPriority w:val="0"/>
  </w:style>
  <w:style w:type="character" w:customStyle="1" w:styleId="66">
    <w:name w:val="日期 Char"/>
    <w:basedOn w:val="42"/>
    <w:qFormat/>
    <w:uiPriority w:val="0"/>
  </w:style>
  <w:style w:type="character" w:customStyle="1" w:styleId="67">
    <w:name w:val="正文首行缩进 Char"/>
    <w:basedOn w:val="64"/>
    <w:qFormat/>
    <w:uiPriority w:val="0"/>
  </w:style>
  <w:style w:type="character" w:customStyle="1" w:styleId="68">
    <w:name w:val="正文首行缩进 2 Char"/>
    <w:basedOn w:val="65"/>
    <w:link w:val="15"/>
    <w:semiHidden/>
    <w:qFormat/>
    <w:uiPriority w:val="0"/>
    <w:rPr>
      <w:rFonts w:ascii="Times New Roman" w:hAnsi="Times New Roman" w:eastAsia="宋体" w:cs="Times New Roman"/>
      <w:kern w:val="0"/>
      <w:szCs w:val="24"/>
    </w:rPr>
  </w:style>
  <w:style w:type="character" w:customStyle="1" w:styleId="69">
    <w:name w:val="正文文本 2 Char"/>
    <w:basedOn w:val="42"/>
    <w:qFormat/>
    <w:uiPriority w:val="0"/>
  </w:style>
  <w:style w:type="character" w:customStyle="1" w:styleId="70">
    <w:name w:val="正文文本缩进 2 Char"/>
    <w:basedOn w:val="42"/>
    <w:qFormat/>
    <w:uiPriority w:val="0"/>
  </w:style>
  <w:style w:type="character" w:customStyle="1" w:styleId="71">
    <w:name w:val="正文文本缩进 3 Char"/>
    <w:basedOn w:val="42"/>
    <w:qFormat/>
    <w:uiPriority w:val="0"/>
    <w:rPr>
      <w:sz w:val="16"/>
      <w:szCs w:val="16"/>
    </w:rPr>
  </w:style>
  <w:style w:type="character" w:customStyle="1" w:styleId="72">
    <w:name w:val="文档结构图 Char"/>
    <w:basedOn w:val="42"/>
    <w:semiHidden/>
    <w:qFormat/>
    <w:uiPriority w:val="0"/>
    <w:rPr>
      <w:rFonts w:ascii="宋体" w:eastAsia="宋体"/>
      <w:sz w:val="18"/>
      <w:szCs w:val="18"/>
    </w:rPr>
  </w:style>
  <w:style w:type="character" w:customStyle="1" w:styleId="73">
    <w:name w:val="纯文本 Char"/>
    <w:basedOn w:val="42"/>
    <w:qFormat/>
    <w:uiPriority w:val="0"/>
    <w:rPr>
      <w:rFonts w:ascii="宋体" w:hAnsi="Courier New" w:eastAsia="宋体" w:cs="Courier New"/>
      <w:szCs w:val="21"/>
    </w:rPr>
  </w:style>
  <w:style w:type="character" w:customStyle="1" w:styleId="74">
    <w:name w:val="批注框文本 Char"/>
    <w:basedOn w:val="42"/>
    <w:semiHidden/>
    <w:qFormat/>
    <w:uiPriority w:val="0"/>
    <w:rPr>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76">
    <w:name w:val="List Paragraph"/>
    <w:basedOn w:val="1"/>
    <w:qFormat/>
    <w:uiPriority w:val="34"/>
    <w:pPr>
      <w:ind w:firstLine="420" w:firstLineChars="200"/>
    </w:pPr>
    <w:rPr>
      <w:rFonts w:ascii="Times New Roman" w:hAnsi="Times New Roman" w:eastAsia="宋体" w:cs="Times New Roman"/>
      <w:szCs w:val="20"/>
    </w:rPr>
  </w:style>
  <w:style w:type="paragraph" w:customStyle="1" w:styleId="7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7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4"/>
      <w:szCs w:val="24"/>
    </w:rPr>
  </w:style>
  <w:style w:type="paragraph" w:customStyle="1" w:styleId="79">
    <w:name w:val="Char"/>
    <w:basedOn w:val="1"/>
    <w:qFormat/>
    <w:uiPriority w:val="0"/>
    <w:pPr>
      <w:snapToGrid w:val="0"/>
      <w:spacing w:line="360" w:lineRule="auto"/>
      <w:ind w:firstLine="529" w:firstLineChars="200"/>
    </w:pPr>
    <w:rPr>
      <w:rFonts w:ascii="宋体" w:hAnsi="宋体" w:eastAsia="宋体" w:cs="Times New Roman"/>
      <w:b/>
      <w:szCs w:val="24"/>
    </w:rPr>
  </w:style>
  <w:style w:type="paragraph" w:customStyle="1" w:styleId="80">
    <w:name w:val="段落"/>
    <w:basedOn w:val="1"/>
    <w:qFormat/>
    <w:uiPriority w:val="0"/>
    <w:pPr>
      <w:spacing w:line="500" w:lineRule="exact"/>
      <w:ind w:firstLine="200" w:firstLineChars="200"/>
    </w:pPr>
    <w:rPr>
      <w:rFonts w:ascii="Times New Roman" w:hAnsi="Times New Roman" w:eastAsia="宋体" w:cs="Times New Roman"/>
      <w:spacing w:val="10"/>
      <w:sz w:val="28"/>
      <w:szCs w:val="20"/>
    </w:rPr>
  </w:style>
  <w:style w:type="paragraph" w:customStyle="1" w:styleId="81">
    <w:name w:val="00表内字体"/>
    <w:basedOn w:val="82"/>
    <w:qFormat/>
    <w:uiPriority w:val="0"/>
    <w:rPr>
      <w:rFonts w:eastAsia="宋体"/>
      <w:szCs w:val="24"/>
    </w:rPr>
  </w:style>
  <w:style w:type="paragraph" w:customStyle="1" w:styleId="82">
    <w:name w:val="00表图注释"/>
    <w:basedOn w:val="1"/>
    <w:qFormat/>
    <w:uiPriority w:val="0"/>
    <w:pPr>
      <w:spacing w:line="480" w:lineRule="exact"/>
      <w:jc w:val="center"/>
    </w:pPr>
    <w:rPr>
      <w:rFonts w:ascii="Times New Roman" w:hAnsi="Times New Roman" w:eastAsia="黑体" w:cs="Times New Roman"/>
      <w:sz w:val="24"/>
    </w:rPr>
  </w:style>
  <w:style w:type="paragraph" w:customStyle="1" w:styleId="83">
    <w:name w:val="a"/>
    <w:basedOn w:val="1"/>
    <w:qFormat/>
    <w:uiPriority w:val="0"/>
    <w:pPr>
      <w:widowControl/>
      <w:spacing w:before="100" w:beforeAutospacing="1" w:after="100" w:afterAutospacing="1" w:line="432" w:lineRule="auto"/>
      <w:jc w:val="left"/>
    </w:pPr>
    <w:rPr>
      <w:rFonts w:ascii="宋体" w:hAnsi="宋体" w:eastAsia="宋体" w:cs="宋体"/>
      <w:color w:val="000000"/>
      <w:kern w:val="0"/>
      <w:sz w:val="24"/>
      <w:szCs w:val="24"/>
    </w:rPr>
  </w:style>
  <w:style w:type="paragraph" w:customStyle="1" w:styleId="84">
    <w:name w:val="2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85">
    <w:name w:val="表格文字 Char Char"/>
    <w:link w:val="86"/>
    <w:qFormat/>
    <w:locked/>
    <w:uiPriority w:val="0"/>
    <w:rPr>
      <w:position w:val="-26"/>
    </w:rPr>
  </w:style>
  <w:style w:type="paragraph" w:customStyle="1" w:styleId="86">
    <w:name w:val="表格文字"/>
    <w:basedOn w:val="87"/>
    <w:next w:val="1"/>
    <w:link w:val="85"/>
    <w:qFormat/>
    <w:uiPriority w:val="0"/>
    <w:pPr>
      <w:tabs>
        <w:tab w:val="left" w:pos="2880"/>
        <w:tab w:val="left" w:pos="7380"/>
      </w:tabs>
      <w:spacing w:line="240" w:lineRule="atLeast"/>
      <w:ind w:right="22"/>
      <w:jc w:val="center"/>
    </w:pPr>
    <w:rPr>
      <w:position w:val="-26"/>
    </w:rPr>
  </w:style>
  <w:style w:type="paragraph" w:customStyle="1" w:styleId="87">
    <w:name w:val="朔电正文"/>
    <w:basedOn w:val="1"/>
    <w:qFormat/>
    <w:uiPriority w:val="0"/>
    <w:pPr>
      <w:adjustRightInd w:val="0"/>
      <w:snapToGrid w:val="0"/>
      <w:spacing w:before="78"/>
      <w:ind w:firstLine="480" w:firstLineChars="200"/>
    </w:pPr>
    <w:rPr>
      <w:rFonts w:ascii="Times New Roman" w:hAnsi="Times New Roman" w:eastAsia="宋体" w:cs="Times New Roman"/>
      <w:color w:val="000000"/>
      <w:kern w:val="32"/>
      <w:sz w:val="24"/>
    </w:rPr>
  </w:style>
  <w:style w:type="character" w:customStyle="1" w:styleId="88">
    <w:name w:val="表格 Char"/>
    <w:link w:val="89"/>
    <w:qFormat/>
    <w:locked/>
    <w:uiPriority w:val="0"/>
    <w:rPr>
      <w:rFonts w:ascii="宋体" w:hAnsi="宋体" w:eastAsia="宋体"/>
      <w:color w:val="000000"/>
      <w:spacing w:val="-20"/>
      <w:sz w:val="24"/>
    </w:rPr>
  </w:style>
  <w:style w:type="paragraph" w:customStyle="1" w:styleId="89">
    <w:name w:val="表格"/>
    <w:basedOn w:val="1"/>
    <w:link w:val="88"/>
    <w:qFormat/>
    <w:uiPriority w:val="0"/>
    <w:pPr>
      <w:autoSpaceDE w:val="0"/>
      <w:autoSpaceDN w:val="0"/>
      <w:adjustRightInd w:val="0"/>
      <w:spacing w:line="320" w:lineRule="exact"/>
    </w:pPr>
    <w:rPr>
      <w:rFonts w:ascii="宋体" w:hAnsi="宋体" w:eastAsia="宋体"/>
      <w:color w:val="000000"/>
      <w:spacing w:val="-20"/>
      <w:sz w:val="24"/>
    </w:rPr>
  </w:style>
  <w:style w:type="paragraph" w:customStyle="1" w:styleId="90">
    <w:name w:val="È±Ê¡ÎÄ±¾"/>
    <w:basedOn w:val="1"/>
    <w:qFormat/>
    <w:uiPriority w:val="0"/>
    <w:pPr>
      <w:widowControl/>
      <w:overflowPunct w:val="0"/>
      <w:autoSpaceDE w:val="0"/>
      <w:autoSpaceDN w:val="0"/>
      <w:adjustRightInd w:val="0"/>
      <w:jc w:val="left"/>
    </w:pPr>
    <w:rPr>
      <w:rFonts w:ascii="Times New Roman" w:hAnsi="Times New Roman" w:eastAsia="宋体" w:cs="Times New Roman"/>
      <w:kern w:val="0"/>
      <w:sz w:val="24"/>
      <w:szCs w:val="20"/>
    </w:rPr>
  </w:style>
  <w:style w:type="paragraph" w:customStyle="1" w:styleId="91">
    <w:name w:val="正文文本 21"/>
    <w:basedOn w:val="1"/>
    <w:qFormat/>
    <w:uiPriority w:val="99"/>
    <w:pPr>
      <w:spacing w:after="120" w:line="480" w:lineRule="auto"/>
    </w:pPr>
    <w:rPr>
      <w:rFonts w:ascii="Times New Roman" w:hAnsi="Times New Roman" w:eastAsia="宋体" w:cs="Times New Roman"/>
      <w:szCs w:val="21"/>
    </w:rPr>
  </w:style>
  <w:style w:type="paragraph" w:customStyle="1" w:styleId="92">
    <w:name w:val="默认段落字体 Para Char Char Char Char"/>
    <w:basedOn w:val="1"/>
    <w:qFormat/>
    <w:uiPriority w:val="0"/>
    <w:rPr>
      <w:rFonts w:ascii="Times New Roman" w:hAnsi="Times New Roman" w:eastAsia="宋体" w:cs="Times New Roman"/>
      <w:szCs w:val="24"/>
    </w:rPr>
  </w:style>
  <w:style w:type="paragraph" w:customStyle="1" w:styleId="93">
    <w:name w:val="表格中"/>
    <w:basedOn w:val="1"/>
    <w:qFormat/>
    <w:uiPriority w:val="0"/>
    <w:pPr>
      <w:spacing w:line="280" w:lineRule="exact"/>
      <w:jc w:val="center"/>
    </w:pPr>
    <w:rPr>
      <w:rFonts w:ascii="宋体" w:hAnsi="Times New Roman" w:eastAsia="宋体" w:cs="Times New Roman"/>
      <w:color w:val="000000"/>
      <w:sz w:val="18"/>
      <w:szCs w:val="30"/>
      <w:lang w:bidi="he-IL"/>
    </w:rPr>
  </w:style>
  <w:style w:type="paragraph" w:customStyle="1" w:styleId="94">
    <w:name w:val="默认段落字体 Para Char"/>
    <w:basedOn w:val="1"/>
    <w:next w:val="1"/>
    <w:qFormat/>
    <w:uiPriority w:val="0"/>
    <w:pPr>
      <w:keepNext/>
      <w:keepLines/>
      <w:widowControl/>
      <w:adjustRightInd w:val="0"/>
      <w:spacing w:before="360" w:after="480" w:line="360" w:lineRule="auto"/>
      <w:ind w:firstLine="200" w:firstLineChars="200"/>
      <w:jc w:val="left"/>
      <w:outlineLvl w:val="1"/>
    </w:pPr>
    <w:rPr>
      <w:rFonts w:ascii="宋体" w:hAnsi="宋体" w:eastAsia="宋体" w:cs="宋体"/>
      <w:b/>
      <w:bCs/>
      <w:kern w:val="0"/>
      <w:sz w:val="30"/>
      <w:szCs w:val="28"/>
    </w:rPr>
  </w:style>
  <w:style w:type="paragraph" w:customStyle="1" w:styleId="95">
    <w:name w:val="已有表格"/>
    <w:basedOn w:val="1"/>
    <w:qFormat/>
    <w:uiPriority w:val="0"/>
    <w:pPr>
      <w:adjustRightInd w:val="0"/>
      <w:spacing w:before="40" w:after="40"/>
      <w:jc w:val="center"/>
    </w:pPr>
    <w:rPr>
      <w:rFonts w:ascii="Times New Roman" w:hAnsi="Times New Roman" w:eastAsia="宋体" w:cs="Times New Roman"/>
      <w:b/>
      <w:kern w:val="0"/>
      <w:sz w:val="24"/>
      <w:szCs w:val="20"/>
    </w:rPr>
  </w:style>
  <w:style w:type="paragraph" w:customStyle="1" w:styleId="96">
    <w:name w:val="4正文"/>
    <w:basedOn w:val="1"/>
    <w:qFormat/>
    <w:uiPriority w:val="0"/>
    <w:pPr>
      <w:ind w:firstLine="480"/>
    </w:pPr>
    <w:rPr>
      <w:rFonts w:ascii="Times New Roman" w:hAnsi="Times New Roman" w:eastAsia="宋体" w:cs="宋体"/>
      <w:szCs w:val="24"/>
    </w:rPr>
  </w:style>
  <w:style w:type="paragraph" w:customStyle="1" w:styleId="97">
    <w:name w:val="表格题头"/>
    <w:basedOn w:val="1"/>
    <w:qFormat/>
    <w:uiPriority w:val="0"/>
    <w:rPr>
      <w:rFonts w:ascii="宋体" w:hAnsi="宋体" w:eastAsia="宋体" w:cs="Times New Roman"/>
      <w:b/>
      <w:szCs w:val="21"/>
    </w:rPr>
  </w:style>
  <w:style w:type="paragraph" w:customStyle="1" w:styleId="9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99">
    <w:name w:val="Normal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4"/>
      <w:szCs w:val="24"/>
    </w:rPr>
  </w:style>
  <w:style w:type="paragraph" w:customStyle="1" w:styleId="101">
    <w:name w:val="00正文"/>
    <w:basedOn w:val="1"/>
    <w:qFormat/>
    <w:uiPriority w:val="0"/>
    <w:pPr>
      <w:spacing w:line="480" w:lineRule="exact"/>
      <w:ind w:firstLine="200" w:firstLineChars="200"/>
    </w:pPr>
    <w:rPr>
      <w:rFonts w:ascii="Times New Roman" w:hAnsi="Times New Roman" w:eastAsia="宋体" w:cs="Times New Roman"/>
      <w:sz w:val="24"/>
    </w:rPr>
  </w:style>
  <w:style w:type="character" w:customStyle="1" w:styleId="102">
    <w:name w:val="正文1 Char"/>
    <w:link w:val="103"/>
    <w:qFormat/>
    <w:locked/>
    <w:uiPriority w:val="0"/>
    <w:rPr>
      <w:sz w:val="24"/>
      <w:szCs w:val="24"/>
    </w:rPr>
  </w:style>
  <w:style w:type="paragraph" w:customStyle="1" w:styleId="103">
    <w:name w:val="正文1"/>
    <w:basedOn w:val="1"/>
    <w:link w:val="102"/>
    <w:qFormat/>
    <w:uiPriority w:val="0"/>
    <w:pPr>
      <w:spacing w:beforeLines="25" w:line="360" w:lineRule="auto"/>
      <w:ind w:firstLine="480" w:firstLineChars="200"/>
    </w:pPr>
    <w:rPr>
      <w:sz w:val="24"/>
      <w:szCs w:val="24"/>
    </w:rPr>
  </w:style>
  <w:style w:type="paragraph" w:customStyle="1" w:styleId="104">
    <w:name w:val="表头"/>
    <w:basedOn w:val="1"/>
    <w:link w:val="146"/>
    <w:qFormat/>
    <w:uiPriority w:val="0"/>
    <w:pPr>
      <w:spacing w:line="360" w:lineRule="auto"/>
      <w:jc w:val="center"/>
    </w:pPr>
    <w:rPr>
      <w:rFonts w:ascii="黑体" w:hAnsi="Times New Roman" w:eastAsia="黑体" w:cs="Times New Roman"/>
      <w:color w:val="000000"/>
      <w:szCs w:val="20"/>
      <w:lang w:bidi="he-IL"/>
    </w:rPr>
  </w:style>
  <w:style w:type="paragraph" w:customStyle="1" w:styleId="105">
    <w:name w:val="y4"/>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customStyle="1" w:styleId="106">
    <w:name w:val="表格内容5号 Char"/>
    <w:link w:val="107"/>
    <w:qFormat/>
    <w:locked/>
    <w:uiPriority w:val="0"/>
    <w:rPr>
      <w:szCs w:val="24"/>
    </w:rPr>
  </w:style>
  <w:style w:type="paragraph" w:customStyle="1" w:styleId="107">
    <w:name w:val="表格内容5号"/>
    <w:link w:val="106"/>
    <w:qFormat/>
    <w:uiPriority w:val="0"/>
    <w:pPr>
      <w:widowControl w:val="0"/>
      <w:snapToGrid w:val="0"/>
      <w:spacing w:line="240" w:lineRule="atLeast"/>
      <w:jc w:val="center"/>
    </w:pPr>
    <w:rPr>
      <w:rFonts w:asciiTheme="minorHAnsi" w:hAnsiTheme="minorHAnsi" w:eastAsiaTheme="minorEastAsia" w:cstheme="minorBidi"/>
      <w:kern w:val="2"/>
      <w:sz w:val="21"/>
      <w:szCs w:val="24"/>
      <w:lang w:val="en-US" w:eastAsia="zh-CN" w:bidi="ar-SA"/>
    </w:rPr>
  </w:style>
  <w:style w:type="paragraph" w:customStyle="1" w:styleId="108">
    <w:name w:val="正文文本缩进 21"/>
    <w:basedOn w:val="1"/>
    <w:qFormat/>
    <w:uiPriority w:val="0"/>
    <w:pPr>
      <w:spacing w:after="120" w:line="480" w:lineRule="auto"/>
      <w:ind w:left="420" w:leftChars="200"/>
    </w:pPr>
    <w:rPr>
      <w:rFonts w:ascii="Times New Roman" w:hAnsi="Times New Roman" w:eastAsia="宋体" w:cs="Times New Roman"/>
      <w:szCs w:val="20"/>
    </w:rPr>
  </w:style>
  <w:style w:type="paragraph" w:customStyle="1" w:styleId="109">
    <w:name w:val="正文（首行缩进两字）"/>
    <w:basedOn w:val="1"/>
    <w:qFormat/>
    <w:uiPriority w:val="0"/>
    <w:pPr>
      <w:widowControl/>
      <w:adjustRightInd w:val="0"/>
      <w:snapToGrid w:val="0"/>
      <w:spacing w:line="300" w:lineRule="auto"/>
      <w:ind w:firstLine="200" w:firstLineChars="200"/>
      <w:jc w:val="left"/>
    </w:pPr>
    <w:rPr>
      <w:rFonts w:ascii="宋体" w:hAnsi="宋体" w:eastAsia="宋体" w:cs="Times New Roman"/>
      <w:kern w:val="0"/>
      <w:sz w:val="30"/>
      <w:szCs w:val="24"/>
    </w:rPr>
  </w:style>
  <w:style w:type="paragraph" w:customStyle="1" w:styleId="11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3">
    <w:name w:val="山焦报告正文"/>
    <w:basedOn w:val="1"/>
    <w:qFormat/>
    <w:uiPriority w:val="99"/>
    <w:pPr>
      <w:adjustRightInd w:val="0"/>
      <w:snapToGrid w:val="0"/>
      <w:spacing w:beforeLines="25" w:line="440" w:lineRule="exact"/>
      <w:ind w:firstLine="200" w:firstLineChars="200"/>
    </w:pPr>
    <w:rPr>
      <w:rFonts w:ascii="Times New Roman" w:hAnsi="Times New Roman" w:eastAsia="宋体" w:cs="Times New Roman"/>
      <w:color w:val="000000"/>
      <w:sz w:val="24"/>
      <w:szCs w:val="24"/>
    </w:rPr>
  </w:style>
  <w:style w:type="paragraph" w:customStyle="1" w:styleId="11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15">
    <w:name w:val="font5"/>
    <w:basedOn w:val="1"/>
    <w:qFormat/>
    <w:uiPriority w:val="0"/>
    <w:pPr>
      <w:widowControl/>
      <w:spacing w:before="100" w:beforeAutospacing="1" w:after="100" w:afterAutospacing="1"/>
      <w:jc w:val="left"/>
    </w:pPr>
    <w:rPr>
      <w:rFonts w:ascii="宋体" w:hAnsi="宋体" w:eastAsia="宋体" w:cs="Arial Unicode MS"/>
      <w:kern w:val="0"/>
      <w:sz w:val="18"/>
      <w:szCs w:val="18"/>
    </w:rPr>
  </w:style>
  <w:style w:type="paragraph" w:customStyle="1" w:styleId="116">
    <w:name w:val="font6"/>
    <w:basedOn w:val="1"/>
    <w:qFormat/>
    <w:uiPriority w:val="0"/>
    <w:pPr>
      <w:widowControl/>
      <w:spacing w:before="100" w:beforeAutospacing="1" w:after="100" w:afterAutospacing="1"/>
      <w:jc w:val="left"/>
    </w:pPr>
    <w:rPr>
      <w:rFonts w:ascii="Times New Roman" w:hAnsi="Times New Roman" w:eastAsia="Arial Unicode MS" w:cs="Times New Roman"/>
      <w:kern w:val="0"/>
      <w:sz w:val="24"/>
      <w:szCs w:val="24"/>
    </w:rPr>
  </w:style>
  <w:style w:type="paragraph" w:customStyle="1" w:styleId="117">
    <w:name w:val="11"/>
    <w:basedOn w:val="21"/>
    <w:qFormat/>
    <w:uiPriority w:val="0"/>
    <w:pPr>
      <w:autoSpaceDE w:val="0"/>
      <w:autoSpaceDN w:val="0"/>
      <w:ind w:left="522" w:leftChars="164" w:hanging="178" w:hangingChars="74"/>
      <w:jc w:val="center"/>
    </w:pPr>
    <w:rPr>
      <w:rFonts w:eastAsia="仿宋_GB2312"/>
      <w:b/>
      <w:kern w:val="0"/>
    </w:rPr>
  </w:style>
  <w:style w:type="paragraph" w:customStyle="1" w:styleId="118">
    <w:name w:val="段落1"/>
    <w:basedOn w:val="1"/>
    <w:qFormat/>
    <w:uiPriority w:val="99"/>
    <w:pPr>
      <w:spacing w:line="480" w:lineRule="exact"/>
      <w:ind w:firstLine="200" w:firstLineChars="200"/>
    </w:pPr>
    <w:rPr>
      <w:rFonts w:ascii="Times New Roman" w:hAnsi="Times New Roman" w:eastAsia="楷体_GB2312" w:cs="Times New Roman"/>
      <w:spacing w:val="6"/>
      <w:sz w:val="28"/>
      <w:szCs w:val="24"/>
    </w:rPr>
  </w:style>
  <w:style w:type="character" w:customStyle="1" w:styleId="119">
    <w:name w:val="wenzi1"/>
    <w:qFormat/>
    <w:uiPriority w:val="0"/>
    <w:rPr>
      <w:color w:val="000000"/>
      <w:sz w:val="18"/>
      <w:szCs w:val="18"/>
      <w:u w:val="none"/>
    </w:rPr>
  </w:style>
  <w:style w:type="character" w:customStyle="1" w:styleId="120">
    <w:name w:val="sm1"/>
    <w:qFormat/>
    <w:uiPriority w:val="0"/>
    <w:rPr>
      <w:sz w:val="18"/>
      <w:szCs w:val="18"/>
    </w:rPr>
  </w:style>
  <w:style w:type="character" w:customStyle="1" w:styleId="121">
    <w:name w:val="zi1"/>
    <w:qFormat/>
    <w:uiPriority w:val="0"/>
    <w:rPr>
      <w:color w:val="003366"/>
      <w:sz w:val="18"/>
      <w:szCs w:val="18"/>
    </w:rPr>
  </w:style>
  <w:style w:type="character" w:customStyle="1" w:styleId="122">
    <w:name w:val="a1"/>
    <w:qFormat/>
    <w:uiPriority w:val="0"/>
    <w:rPr>
      <w:color w:val="000000"/>
    </w:rPr>
  </w:style>
  <w:style w:type="character" w:customStyle="1" w:styleId="123">
    <w:name w:val="正文文本 Char1"/>
    <w:basedOn w:val="42"/>
    <w:link w:val="21"/>
    <w:qFormat/>
    <w:locked/>
    <w:uiPriority w:val="0"/>
    <w:rPr>
      <w:rFonts w:ascii="Times New Roman" w:hAnsi="Times New Roman" w:eastAsia="宋体" w:cs="Times New Roman"/>
      <w:szCs w:val="24"/>
    </w:rPr>
  </w:style>
  <w:style w:type="character" w:customStyle="1" w:styleId="124">
    <w:name w:val="正文首行缩进 Char1"/>
    <w:basedOn w:val="123"/>
    <w:link w:val="39"/>
    <w:semiHidden/>
    <w:qFormat/>
    <w:locked/>
    <w:uiPriority w:val="0"/>
    <w:rPr>
      <w:rFonts w:ascii="Times New Roman" w:hAnsi="Times New Roman" w:eastAsia="宋体" w:cs="Times New Roman"/>
      <w:kern w:val="0"/>
      <w:sz w:val="20"/>
      <w:szCs w:val="24"/>
    </w:rPr>
  </w:style>
  <w:style w:type="character" w:customStyle="1" w:styleId="125">
    <w:name w:val="批注框文本 Char1"/>
    <w:basedOn w:val="42"/>
    <w:link w:val="29"/>
    <w:semiHidden/>
    <w:qFormat/>
    <w:locked/>
    <w:uiPriority w:val="0"/>
    <w:rPr>
      <w:rFonts w:ascii="Times New Roman" w:hAnsi="Times New Roman" w:eastAsia="宋体" w:cs="Times New Roman"/>
      <w:kern w:val="0"/>
      <w:sz w:val="18"/>
      <w:szCs w:val="18"/>
    </w:rPr>
  </w:style>
  <w:style w:type="character" w:customStyle="1" w:styleId="126">
    <w:name w:val="正文文本缩进 2 Char1"/>
    <w:basedOn w:val="42"/>
    <w:link w:val="27"/>
    <w:semiHidden/>
    <w:qFormat/>
    <w:locked/>
    <w:uiPriority w:val="0"/>
    <w:rPr>
      <w:rFonts w:ascii="Times New Roman" w:hAnsi="Times New Roman" w:eastAsia="宋体" w:cs="Times New Roman"/>
      <w:kern w:val="0"/>
      <w:sz w:val="28"/>
      <w:szCs w:val="24"/>
    </w:rPr>
  </w:style>
  <w:style w:type="character" w:customStyle="1" w:styleId="127">
    <w:name w:val="文档结构图 Char1"/>
    <w:basedOn w:val="42"/>
    <w:link w:val="18"/>
    <w:semiHidden/>
    <w:qFormat/>
    <w:locked/>
    <w:uiPriority w:val="0"/>
    <w:rPr>
      <w:rFonts w:ascii="Times New Roman" w:hAnsi="Times New Roman" w:eastAsia="宋体" w:cs="Times New Roman"/>
      <w:kern w:val="0"/>
      <w:sz w:val="20"/>
      <w:szCs w:val="24"/>
      <w:shd w:val="clear" w:color="auto" w:fill="000080"/>
    </w:rPr>
  </w:style>
  <w:style w:type="character" w:customStyle="1" w:styleId="128">
    <w:name w:val="批注文字 Char1"/>
    <w:basedOn w:val="42"/>
    <w:link w:val="19"/>
    <w:semiHidden/>
    <w:qFormat/>
    <w:locked/>
    <w:uiPriority w:val="0"/>
    <w:rPr>
      <w:rFonts w:ascii="Times New Roman" w:hAnsi="Times New Roman" w:eastAsia="宋体" w:cs="Times New Roman"/>
      <w:kern w:val="0"/>
      <w:sz w:val="20"/>
      <w:szCs w:val="24"/>
    </w:rPr>
  </w:style>
  <w:style w:type="character" w:customStyle="1" w:styleId="129">
    <w:name w:val="正文文本缩进 3 Char1"/>
    <w:basedOn w:val="42"/>
    <w:link w:val="34"/>
    <w:semiHidden/>
    <w:qFormat/>
    <w:locked/>
    <w:uiPriority w:val="0"/>
    <w:rPr>
      <w:rFonts w:ascii="宋体" w:hAnsi="宋体" w:eastAsia="宋体" w:cs="Times New Roman"/>
      <w:kern w:val="0"/>
      <w:sz w:val="28"/>
      <w:szCs w:val="24"/>
    </w:rPr>
  </w:style>
  <w:style w:type="character" w:customStyle="1" w:styleId="130">
    <w:name w:val="纯文本 Char1"/>
    <w:basedOn w:val="42"/>
    <w:link w:val="25"/>
    <w:qFormat/>
    <w:locked/>
    <w:uiPriority w:val="99"/>
    <w:rPr>
      <w:rFonts w:ascii="宋体" w:hAnsi="Courier New" w:eastAsia="仿宋_GB2312" w:cs="Times New Roman"/>
      <w:kern w:val="0"/>
      <w:sz w:val="28"/>
      <w:szCs w:val="21"/>
    </w:rPr>
  </w:style>
  <w:style w:type="character" w:customStyle="1" w:styleId="131">
    <w:name w:val="页眉 Char1"/>
    <w:basedOn w:val="42"/>
    <w:link w:val="31"/>
    <w:semiHidden/>
    <w:qFormat/>
    <w:locked/>
    <w:uiPriority w:val="0"/>
    <w:rPr>
      <w:rFonts w:ascii="Times New Roman" w:hAnsi="Times New Roman" w:eastAsia="宋体" w:cs="Times New Roman"/>
      <w:kern w:val="0"/>
      <w:sz w:val="18"/>
      <w:szCs w:val="18"/>
    </w:rPr>
  </w:style>
  <w:style w:type="character" w:customStyle="1" w:styleId="132">
    <w:name w:val="页脚 Char1"/>
    <w:basedOn w:val="42"/>
    <w:link w:val="30"/>
    <w:semiHidden/>
    <w:qFormat/>
    <w:locked/>
    <w:uiPriority w:val="99"/>
    <w:rPr>
      <w:rFonts w:ascii="Times New Roman" w:hAnsi="Times New Roman" w:eastAsia="宋体" w:cs="Times New Roman"/>
      <w:kern w:val="0"/>
      <w:sz w:val="18"/>
      <w:szCs w:val="18"/>
    </w:rPr>
  </w:style>
  <w:style w:type="character" w:customStyle="1" w:styleId="133">
    <w:name w:val="正文文本缩进 Char1"/>
    <w:basedOn w:val="42"/>
    <w:link w:val="22"/>
    <w:semiHidden/>
    <w:qFormat/>
    <w:locked/>
    <w:uiPriority w:val="0"/>
    <w:rPr>
      <w:rFonts w:ascii="宋体" w:hAnsi="宋体" w:eastAsia="宋体" w:cs="Times New Roman"/>
      <w:kern w:val="0"/>
      <w:sz w:val="24"/>
      <w:szCs w:val="24"/>
    </w:rPr>
  </w:style>
  <w:style w:type="character" w:customStyle="1" w:styleId="134">
    <w:name w:val="日期 Char1"/>
    <w:basedOn w:val="42"/>
    <w:link w:val="26"/>
    <w:semiHidden/>
    <w:qFormat/>
    <w:locked/>
    <w:uiPriority w:val="99"/>
    <w:rPr>
      <w:rFonts w:ascii="Times New Roman" w:hAnsi="Times New Roman" w:eastAsia="宋体" w:cs="Times New Roman"/>
      <w:kern w:val="0"/>
      <w:sz w:val="20"/>
      <w:szCs w:val="24"/>
    </w:rPr>
  </w:style>
  <w:style w:type="character" w:customStyle="1" w:styleId="135">
    <w:name w:val="尾注文本 Char1"/>
    <w:basedOn w:val="42"/>
    <w:link w:val="28"/>
    <w:semiHidden/>
    <w:qFormat/>
    <w:locked/>
    <w:uiPriority w:val="0"/>
    <w:rPr>
      <w:rFonts w:ascii="Times New Roman" w:hAnsi="Times New Roman" w:eastAsia="宋体" w:cs="Times New Roman"/>
      <w:kern w:val="0"/>
      <w:sz w:val="20"/>
      <w:szCs w:val="24"/>
    </w:rPr>
  </w:style>
  <w:style w:type="character" w:customStyle="1" w:styleId="136">
    <w:name w:val="正文文本 2 Char1"/>
    <w:basedOn w:val="42"/>
    <w:link w:val="36"/>
    <w:semiHidden/>
    <w:qFormat/>
    <w:locked/>
    <w:uiPriority w:val="0"/>
    <w:rPr>
      <w:rFonts w:ascii="Times New Roman" w:hAnsi="Times New Roman" w:eastAsia="宋体" w:cs="Times New Roman"/>
      <w:b/>
      <w:bCs/>
      <w:w w:val="150"/>
      <w:kern w:val="0"/>
      <w:sz w:val="84"/>
      <w:szCs w:val="24"/>
    </w:rPr>
  </w:style>
  <w:style w:type="character" w:customStyle="1" w:styleId="137">
    <w:name w:val="标题 2 Char2"/>
    <w:basedOn w:val="42"/>
    <w:semiHidden/>
    <w:qFormat/>
    <w:uiPriority w:val="0"/>
    <w:rPr>
      <w:rFonts w:asciiTheme="majorHAnsi" w:hAnsiTheme="majorHAnsi" w:eastAsiaTheme="majorEastAsia" w:cstheme="majorBidi"/>
      <w:b/>
      <w:bCs/>
      <w:kern w:val="2"/>
      <w:sz w:val="32"/>
      <w:szCs w:val="32"/>
    </w:rPr>
  </w:style>
  <w:style w:type="paragraph" w:customStyle="1" w:styleId="138">
    <w:name w:val="报告表正文"/>
    <w:basedOn w:val="1"/>
    <w:qFormat/>
    <w:uiPriority w:val="0"/>
    <w:pPr>
      <w:adjustRightInd w:val="0"/>
      <w:spacing w:line="312" w:lineRule="auto"/>
      <w:ind w:left="113" w:right="113" w:firstLine="482"/>
      <w:jc w:val="left"/>
    </w:pPr>
    <w:rPr>
      <w:rFonts w:ascii="Times New Roman" w:hAnsi="Times New Roman" w:eastAsia="宋体" w:cs="Times New Roman"/>
      <w:kern w:val="0"/>
      <w:sz w:val="24"/>
      <w:szCs w:val="20"/>
    </w:rPr>
  </w:style>
  <w:style w:type="character" w:customStyle="1" w:styleId="139">
    <w:name w:val="t_tag"/>
    <w:basedOn w:val="42"/>
    <w:qFormat/>
    <w:uiPriority w:val="0"/>
  </w:style>
  <w:style w:type="character" w:customStyle="1" w:styleId="140">
    <w:name w:val="标准正文 Char"/>
    <w:qFormat/>
    <w:uiPriority w:val="0"/>
    <w:rPr>
      <w:kern w:val="2"/>
      <w:sz w:val="24"/>
      <w:szCs w:val="22"/>
    </w:rPr>
  </w:style>
  <w:style w:type="character" w:customStyle="1" w:styleId="141">
    <w:name w:val="newszt1"/>
    <w:basedOn w:val="42"/>
    <w:qFormat/>
    <w:uiPriority w:val="0"/>
    <w:rPr>
      <w:sz w:val="21"/>
      <w:szCs w:val="21"/>
    </w:rPr>
  </w:style>
  <w:style w:type="character" w:customStyle="1" w:styleId="142">
    <w:name w:val="正文1 Char Char Char Char"/>
    <w:link w:val="143"/>
    <w:qFormat/>
    <w:uiPriority w:val="0"/>
    <w:rPr>
      <w:rFonts w:eastAsia="宋体"/>
      <w:b/>
      <w:bCs/>
      <w:color w:val="0000FF"/>
      <w:sz w:val="24"/>
      <w:szCs w:val="24"/>
    </w:rPr>
  </w:style>
  <w:style w:type="paragraph" w:customStyle="1" w:styleId="143">
    <w:name w:val="正文1 Char Char Char"/>
    <w:basedOn w:val="1"/>
    <w:link w:val="142"/>
    <w:qFormat/>
    <w:uiPriority w:val="0"/>
    <w:pPr>
      <w:widowControl/>
      <w:tabs>
        <w:tab w:val="left" w:pos="4660"/>
      </w:tabs>
      <w:spacing w:line="400" w:lineRule="exact"/>
      <w:ind w:firstLine="519" w:firstLineChars="200"/>
      <w:jc w:val="center"/>
    </w:pPr>
    <w:rPr>
      <w:rFonts w:eastAsia="宋体"/>
      <w:b/>
      <w:bCs/>
      <w:color w:val="0000FF"/>
      <w:sz w:val="24"/>
      <w:szCs w:val="24"/>
    </w:rPr>
  </w:style>
  <w:style w:type="character" w:customStyle="1" w:styleId="144">
    <w:name w:val="标准正文 Char Char"/>
    <w:link w:val="145"/>
    <w:qFormat/>
    <w:uiPriority w:val="0"/>
    <w:rPr>
      <w:rFonts w:eastAsia="宋体"/>
      <w:sz w:val="24"/>
    </w:rPr>
  </w:style>
  <w:style w:type="paragraph" w:customStyle="1" w:styleId="145">
    <w:name w:val="标准正文"/>
    <w:basedOn w:val="1"/>
    <w:link w:val="144"/>
    <w:qFormat/>
    <w:uiPriority w:val="0"/>
    <w:pPr>
      <w:spacing w:line="360" w:lineRule="auto"/>
      <w:ind w:firstLine="200" w:firstLineChars="200"/>
      <w:jc w:val="left"/>
    </w:pPr>
    <w:rPr>
      <w:rFonts w:eastAsia="宋体"/>
      <w:sz w:val="24"/>
    </w:rPr>
  </w:style>
  <w:style w:type="character" w:customStyle="1" w:styleId="146">
    <w:name w:val="表头 Char Char"/>
    <w:link w:val="104"/>
    <w:qFormat/>
    <w:uiPriority w:val="0"/>
    <w:rPr>
      <w:rFonts w:ascii="黑体" w:hAnsi="Times New Roman" w:eastAsia="黑体" w:cs="Times New Roman"/>
      <w:color w:val="000000"/>
      <w:szCs w:val="20"/>
      <w:lang w:bidi="he-IL"/>
    </w:rPr>
  </w:style>
  <w:style w:type="character" w:customStyle="1" w:styleId="147">
    <w:name w:val="style21"/>
    <w:basedOn w:val="42"/>
    <w:qFormat/>
    <w:uiPriority w:val="0"/>
    <w:rPr>
      <w:sz w:val="21"/>
    </w:rPr>
  </w:style>
  <w:style w:type="paragraph" w:customStyle="1" w:styleId="148">
    <w:name w:val="表文字"/>
    <w:basedOn w:val="1"/>
    <w:qFormat/>
    <w:uiPriority w:val="0"/>
    <w:pPr>
      <w:overflowPunct w:val="0"/>
      <w:autoSpaceDE w:val="0"/>
      <w:autoSpaceDN w:val="0"/>
      <w:adjustRightInd w:val="0"/>
      <w:spacing w:line="240" w:lineRule="atLeast"/>
      <w:jc w:val="center"/>
      <w:textAlignment w:val="baseline"/>
    </w:pPr>
    <w:rPr>
      <w:rFonts w:ascii="Times New Roman" w:hAnsi="Times New Roman" w:eastAsia="宋体" w:cs="Times New Roman"/>
      <w:kern w:val="0"/>
      <w:sz w:val="24"/>
      <w:szCs w:val="20"/>
    </w:rPr>
  </w:style>
  <w:style w:type="paragraph" w:customStyle="1" w:styleId="149">
    <w:name w:val="表格文字1"/>
    <w:basedOn w:val="1"/>
    <w:qFormat/>
    <w:uiPriority w:val="0"/>
    <w:pPr>
      <w:snapToGrid w:val="0"/>
      <w:jc w:val="center"/>
    </w:pPr>
    <w:rPr>
      <w:rFonts w:ascii="Times New Roman" w:hAnsi="Times New Roman" w:eastAsia="宋体" w:cs="Times New Roman"/>
      <w:kern w:val="32"/>
      <w:sz w:val="24"/>
      <w:szCs w:val="20"/>
      <w:lang w:val="de-DE"/>
    </w:rPr>
  </w:style>
  <w:style w:type="paragraph" w:customStyle="1" w:styleId="150">
    <w:name w:val="标准"/>
    <w:basedOn w:val="1"/>
    <w:qFormat/>
    <w:uiPriority w:val="0"/>
    <w:pPr>
      <w:autoSpaceDE w:val="0"/>
      <w:autoSpaceDN w:val="0"/>
      <w:adjustRightInd w:val="0"/>
      <w:spacing w:line="480" w:lineRule="exact"/>
      <w:ind w:firstLine="560" w:firstLineChars="200"/>
      <w:textAlignment w:val="baseline"/>
    </w:pPr>
    <w:rPr>
      <w:rFonts w:ascii="Times New Roman" w:hAnsi="Times New Roman" w:eastAsia="宋体" w:cs="Times New Roman"/>
      <w:kern w:val="28"/>
      <w:sz w:val="28"/>
      <w:szCs w:val="21"/>
    </w:rPr>
  </w:style>
  <w:style w:type="paragraph" w:customStyle="1" w:styleId="151">
    <w:name w:val="Char3"/>
    <w:basedOn w:val="1"/>
    <w:next w:val="1"/>
    <w:qFormat/>
    <w:uiPriority w:val="0"/>
    <w:pPr>
      <w:spacing w:line="360" w:lineRule="auto"/>
      <w:ind w:firstLine="200" w:firstLineChars="200"/>
    </w:pPr>
    <w:rPr>
      <w:rFonts w:ascii="宋体" w:hAnsi="宋体" w:eastAsia="宋体" w:cs="宋体"/>
      <w:sz w:val="24"/>
      <w:szCs w:val="24"/>
    </w:rPr>
  </w:style>
  <w:style w:type="paragraph" w:customStyle="1" w:styleId="152">
    <w:name w:val="Char2 Char Char Char Char Char Char Char Char Char Char Char Char"/>
    <w:basedOn w:val="1"/>
    <w:qFormat/>
    <w:uiPriority w:val="0"/>
    <w:pPr>
      <w:spacing w:line="560" w:lineRule="exact"/>
      <w:ind w:firstLine="200" w:firstLineChars="200"/>
    </w:pPr>
    <w:rPr>
      <w:rFonts w:ascii="宋体" w:hAnsi="宋体" w:eastAsia="宋体" w:cs="宋体"/>
      <w:sz w:val="28"/>
      <w:szCs w:val="28"/>
    </w:rPr>
  </w:style>
  <w:style w:type="paragraph" w:customStyle="1" w:styleId="153">
    <w:name w:val="Char Char Char Char Char Char Char"/>
    <w:basedOn w:val="1"/>
    <w:qFormat/>
    <w:uiPriority w:val="0"/>
    <w:pPr>
      <w:snapToGrid w:val="0"/>
      <w:spacing w:line="360" w:lineRule="auto"/>
      <w:ind w:firstLine="529" w:firstLineChars="200"/>
    </w:pPr>
    <w:rPr>
      <w:rFonts w:ascii="宋体" w:hAnsi="宋体" w:eastAsia="宋体" w:cs="Times New Roman"/>
      <w:b/>
      <w:szCs w:val="24"/>
    </w:rPr>
  </w:style>
  <w:style w:type="character" w:customStyle="1" w:styleId="154">
    <w:name w:val="批注主题 Char"/>
    <w:basedOn w:val="128"/>
    <w:link w:val="38"/>
    <w:semiHidden/>
    <w:qFormat/>
    <w:uiPriority w:val="0"/>
    <w:rPr>
      <w:rFonts w:ascii="Times New Roman" w:hAnsi="Times New Roman" w:eastAsia="宋体" w:cs="Times New Roman"/>
      <w:b/>
      <w:bCs/>
      <w:kern w:val="0"/>
      <w:sz w:val="20"/>
      <w:szCs w:val="24"/>
    </w:rPr>
  </w:style>
  <w:style w:type="paragraph" w:customStyle="1" w:styleId="155">
    <w:name w:val="Char Char Char Char Char Char Char Char Char Char"/>
    <w:basedOn w:val="1"/>
    <w:qFormat/>
    <w:uiPriority w:val="0"/>
    <w:pPr>
      <w:snapToGrid w:val="0"/>
      <w:spacing w:line="360" w:lineRule="auto"/>
      <w:ind w:firstLine="529" w:firstLineChars="200"/>
    </w:pPr>
    <w:rPr>
      <w:rFonts w:ascii="宋体" w:hAnsi="宋体" w:eastAsia="宋体" w:cs="Times New Roman"/>
      <w:b/>
      <w:szCs w:val="24"/>
    </w:rPr>
  </w:style>
  <w:style w:type="paragraph" w:customStyle="1" w:styleId="156">
    <w:name w:val="报告表格"/>
    <w:basedOn w:val="1"/>
    <w:qFormat/>
    <w:uiPriority w:val="0"/>
    <w:pPr>
      <w:autoSpaceDE w:val="0"/>
      <w:autoSpaceDN w:val="0"/>
      <w:adjustRightInd w:val="0"/>
      <w:spacing w:before="40" w:after="40"/>
      <w:jc w:val="center"/>
      <w:textAlignment w:val="baseline"/>
    </w:pPr>
    <w:rPr>
      <w:rFonts w:ascii="Times New Roman" w:hAnsi="Times New Roman" w:eastAsia="宋体" w:cs="Times New Roman"/>
      <w:kern w:val="0"/>
      <w:szCs w:val="20"/>
    </w:rPr>
  </w:style>
  <w:style w:type="paragraph" w:customStyle="1" w:styleId="157">
    <w:name w:val="1"/>
    <w:basedOn w:val="1"/>
    <w:next w:val="25"/>
    <w:qFormat/>
    <w:uiPriority w:val="0"/>
    <w:pPr>
      <w:snapToGrid w:val="0"/>
      <w:spacing w:line="360" w:lineRule="exact"/>
    </w:pPr>
    <w:rPr>
      <w:rFonts w:ascii="宋体" w:hAnsi="Courier New" w:eastAsia="宋体" w:cs="Times New Roman"/>
      <w:kern w:val="24"/>
      <w:sz w:val="24"/>
      <w:szCs w:val="20"/>
    </w:rPr>
  </w:style>
  <w:style w:type="paragraph" w:customStyle="1" w:styleId="158">
    <w:name w:val="cb正文"/>
    <w:basedOn w:val="1"/>
    <w:qFormat/>
    <w:uiPriority w:val="0"/>
    <w:pPr>
      <w:adjustRightInd w:val="0"/>
      <w:snapToGrid w:val="0"/>
      <w:spacing w:line="500" w:lineRule="exact"/>
    </w:pPr>
    <w:rPr>
      <w:rFonts w:ascii="Times New Roman" w:hAnsi="Times New Roman" w:eastAsia="宋体" w:cs="Times New Roman"/>
      <w:snapToGrid w:val="0"/>
      <w:kern w:val="0"/>
      <w:sz w:val="28"/>
      <w:szCs w:val="20"/>
    </w:rPr>
  </w:style>
  <w:style w:type="paragraph" w:customStyle="1" w:styleId="159">
    <w:name w:val="2 Char Char Char Char"/>
    <w:basedOn w:val="1"/>
    <w:qFormat/>
    <w:uiPriority w:val="0"/>
    <w:pPr>
      <w:snapToGrid w:val="0"/>
      <w:spacing w:line="360" w:lineRule="auto"/>
      <w:ind w:firstLine="529" w:firstLineChars="200"/>
    </w:pPr>
    <w:rPr>
      <w:rFonts w:ascii="宋体" w:hAnsi="宋体" w:eastAsia="宋体" w:cs="Times New Roman"/>
      <w:b/>
      <w:szCs w:val="24"/>
    </w:rPr>
  </w:style>
  <w:style w:type="paragraph" w:customStyle="1" w:styleId="160">
    <w:name w:val="c正文"/>
    <w:qFormat/>
    <w:uiPriority w:val="0"/>
    <w:pPr>
      <w:adjustRightInd w:val="0"/>
      <w:snapToGrid w:val="0"/>
      <w:spacing w:line="500" w:lineRule="exact"/>
      <w:ind w:firstLine="200" w:firstLineChars="200"/>
    </w:pPr>
    <w:rPr>
      <w:rFonts w:ascii="Times New Roman" w:hAnsi="Times New Roman" w:eastAsia="宋体" w:cs="Times New Roman"/>
      <w:color w:val="000000"/>
      <w:kern w:val="44"/>
      <w:sz w:val="24"/>
      <w:szCs w:val="22"/>
      <w:lang w:val="en-US" w:eastAsia="zh-CN" w:bidi="ar-SA"/>
    </w:rPr>
  </w:style>
  <w:style w:type="paragraph" w:customStyle="1" w:styleId="161">
    <w:name w:val="Char1"/>
    <w:basedOn w:val="1"/>
    <w:qFormat/>
    <w:uiPriority w:val="0"/>
    <w:pPr>
      <w:spacing w:line="360" w:lineRule="auto"/>
    </w:pPr>
    <w:rPr>
      <w:rFonts w:ascii="Times New Roman" w:hAnsi="Times New Roman" w:eastAsia="宋体" w:cs="Times New Roman"/>
      <w:sz w:val="30"/>
      <w:szCs w:val="20"/>
    </w:rPr>
  </w:style>
  <w:style w:type="paragraph" w:customStyle="1" w:styleId="162">
    <w:name w:val="0正文"/>
    <w:basedOn w:val="22"/>
    <w:qFormat/>
    <w:uiPriority w:val="0"/>
    <w:pPr>
      <w:spacing w:line="300" w:lineRule="auto"/>
      <w:ind w:firstLine="480" w:firstLineChars="200"/>
      <w:jc w:val="both"/>
    </w:pPr>
    <w:rPr>
      <w:rFonts w:ascii="Times New Roman" w:hAnsi="Times New Roman" w:cs="宋体"/>
      <w:szCs w:val="20"/>
    </w:rPr>
  </w:style>
  <w:style w:type="paragraph" w:customStyle="1" w:styleId="163">
    <w:name w:val="正文标准样式"/>
    <w:basedOn w:val="1"/>
    <w:qFormat/>
    <w:uiPriority w:val="0"/>
    <w:pPr>
      <w:adjustRightInd w:val="0"/>
      <w:spacing w:line="300" w:lineRule="auto"/>
      <w:ind w:firstLine="482"/>
    </w:pPr>
    <w:rPr>
      <w:rFonts w:ascii="Times New Roman" w:hAnsi="Times New Roman" w:eastAsia="宋体" w:cs="Times New Roman"/>
      <w:kern w:val="0"/>
      <w:sz w:val="24"/>
      <w:szCs w:val="20"/>
    </w:rPr>
  </w:style>
  <w:style w:type="paragraph" w:customStyle="1" w:styleId="164">
    <w:name w:val="Char Char Char Char"/>
    <w:basedOn w:val="1"/>
    <w:qFormat/>
    <w:uiPriority w:val="0"/>
    <w:pPr>
      <w:snapToGrid w:val="0"/>
      <w:spacing w:line="360" w:lineRule="auto"/>
      <w:ind w:firstLine="529" w:firstLineChars="200"/>
    </w:pPr>
    <w:rPr>
      <w:rFonts w:ascii="宋体" w:hAnsi="宋体" w:eastAsia="宋体" w:cs="Times New Roman"/>
      <w:b/>
      <w:szCs w:val="24"/>
    </w:rPr>
  </w:style>
  <w:style w:type="paragraph" w:customStyle="1" w:styleId="165">
    <w:name w:val="p0"/>
    <w:basedOn w:val="1"/>
    <w:qFormat/>
    <w:uiPriority w:val="0"/>
    <w:pPr>
      <w:widowControl/>
    </w:pPr>
    <w:rPr>
      <w:rFonts w:ascii="Times New Roman" w:hAnsi="Times New Roman" w:eastAsia="宋体" w:cs="Times New Roman"/>
      <w:kern w:val="0"/>
      <w:szCs w:val="21"/>
    </w:rPr>
  </w:style>
  <w:style w:type="paragraph" w:customStyle="1" w:styleId="166">
    <w:name w:val="健牛正文"/>
    <w:basedOn w:val="1"/>
    <w:qFormat/>
    <w:uiPriority w:val="0"/>
    <w:pPr>
      <w:spacing w:line="480" w:lineRule="exact"/>
      <w:ind w:firstLine="560" w:firstLineChars="200"/>
    </w:pPr>
    <w:rPr>
      <w:rFonts w:ascii="Times New Roman" w:hAnsi="Times New Roman" w:eastAsia="宋体" w:cs="Times New Roman"/>
      <w:sz w:val="28"/>
      <w:szCs w:val="28"/>
    </w:rPr>
  </w:style>
  <w:style w:type="paragraph" w:customStyle="1" w:styleId="167">
    <w:name w:val="样式2"/>
    <w:basedOn w:val="1"/>
    <w:qFormat/>
    <w:uiPriority w:val="0"/>
    <w:pPr>
      <w:adjustRightInd w:val="0"/>
      <w:ind w:left="170"/>
      <w:jc w:val="left"/>
      <w:textAlignment w:val="baseline"/>
    </w:pPr>
    <w:rPr>
      <w:rFonts w:ascii="Times New Roman" w:hAnsi="Times New Roman" w:eastAsia="宋体" w:cs="Times New Roman"/>
      <w:b/>
      <w:kern w:val="0"/>
      <w:sz w:val="24"/>
      <w:szCs w:val="20"/>
    </w:rPr>
  </w:style>
  <w:style w:type="character" w:customStyle="1" w:styleId="168">
    <w:name w:val="表格内容 Char"/>
    <w:link w:val="169"/>
    <w:qFormat/>
    <w:uiPriority w:val="0"/>
  </w:style>
  <w:style w:type="paragraph" w:customStyle="1" w:styleId="169">
    <w:name w:val="表格内容"/>
    <w:basedOn w:val="1"/>
    <w:next w:val="1"/>
    <w:link w:val="168"/>
    <w:qFormat/>
    <w:uiPriority w:val="0"/>
    <w:pPr>
      <w:snapToGrid w:val="0"/>
      <w:spacing w:before="80" w:after="80"/>
      <w:jc w:val="center"/>
      <w:textAlignment w:val="center"/>
    </w:pPr>
  </w:style>
  <w:style w:type="paragraph" w:customStyle="1" w:styleId="170">
    <w:name w:val="正文四号"/>
    <w:basedOn w:val="1"/>
    <w:qFormat/>
    <w:uiPriority w:val="0"/>
    <w:pPr>
      <w:adjustRightInd w:val="0"/>
      <w:spacing w:line="400" w:lineRule="exact"/>
      <w:jc w:val="center"/>
      <w:textAlignment w:val="baseline"/>
    </w:pPr>
    <w:rPr>
      <w:rFonts w:ascii="Times New Roman" w:hAnsi="Times New Roman" w:eastAsia="宋体" w:cs="Times New Roman"/>
      <w:sz w:val="28"/>
      <w:szCs w:val="28"/>
    </w:rPr>
  </w:style>
  <w:style w:type="paragraph" w:customStyle="1" w:styleId="171">
    <w:name w:val="表体"/>
    <w:basedOn w:val="1"/>
    <w:qFormat/>
    <w:uiPriority w:val="0"/>
    <w:pPr>
      <w:spacing w:before="40" w:after="40"/>
      <w:jc w:val="center"/>
    </w:pPr>
    <w:rPr>
      <w:rFonts w:ascii="Times New Roman" w:hAnsi="Times New Roman" w:eastAsia="宋体" w:cs="Times New Roman"/>
      <w:color w:val="000080"/>
      <w:szCs w:val="24"/>
    </w:rPr>
  </w:style>
  <w:style w:type="paragraph" w:customStyle="1" w:styleId="172">
    <w:name w:val="标题3 Char Char Char Char"/>
    <w:basedOn w:val="1"/>
    <w:qFormat/>
    <w:uiPriority w:val="0"/>
    <w:pPr>
      <w:spacing w:line="560" w:lineRule="exact"/>
    </w:pPr>
    <w:rPr>
      <w:rFonts w:ascii="Times New Roman" w:hAnsi="Times New Roman" w:eastAsia="黑体" w:cs="Times New Roman"/>
      <w:sz w:val="30"/>
      <w:szCs w:val="30"/>
    </w:rPr>
  </w:style>
  <w:style w:type="paragraph" w:customStyle="1" w:styleId="173">
    <w:name w:val="应填表格"/>
    <w:basedOn w:val="1"/>
    <w:qFormat/>
    <w:uiPriority w:val="0"/>
    <w:pPr>
      <w:adjustRightInd w:val="0"/>
      <w:spacing w:before="40" w:after="40"/>
      <w:jc w:val="left"/>
      <w:textAlignment w:val="baseline"/>
    </w:pPr>
    <w:rPr>
      <w:rFonts w:ascii="Times New Roman" w:hAnsi="Times New Roman" w:eastAsia="宋体" w:cs="Times New Roman"/>
      <w:kern w:val="0"/>
      <w:sz w:val="24"/>
      <w:szCs w:val="20"/>
    </w:rPr>
  </w:style>
  <w:style w:type="paragraph" w:customStyle="1" w:styleId="174">
    <w:name w:val="简单回函地址"/>
    <w:basedOn w:val="1"/>
    <w:qFormat/>
    <w:uiPriority w:val="0"/>
    <w:pPr>
      <w:widowControl/>
    </w:pPr>
    <w:rPr>
      <w:rFonts w:ascii="Times New Roman" w:hAnsi="Times New Roman" w:eastAsia="宋体" w:cs="Times New Roman"/>
      <w:color w:val="000000"/>
      <w:sz w:val="28"/>
      <w:szCs w:val="28"/>
    </w:rPr>
  </w:style>
  <w:style w:type="paragraph" w:customStyle="1" w:styleId="175">
    <w:name w:val="图表文字"/>
    <w:basedOn w:val="1"/>
    <w:qFormat/>
    <w:uiPriority w:val="0"/>
    <w:pPr>
      <w:spacing w:line="320" w:lineRule="exact"/>
      <w:jc w:val="center"/>
    </w:pPr>
    <w:rPr>
      <w:rFonts w:ascii="Times New Roman" w:hAnsi="Times New Roman" w:eastAsia="宋体" w:cs="Times New Roman"/>
      <w:spacing w:val="-6"/>
      <w:szCs w:val="21"/>
    </w:rPr>
  </w:style>
  <w:style w:type="paragraph" w:customStyle="1" w:styleId="176">
    <w:name w:val="Char2"/>
    <w:basedOn w:val="1"/>
    <w:qFormat/>
    <w:uiPriority w:val="0"/>
    <w:pPr>
      <w:snapToGrid w:val="0"/>
      <w:spacing w:line="360" w:lineRule="auto"/>
      <w:ind w:firstLine="529" w:firstLineChars="200"/>
    </w:pPr>
    <w:rPr>
      <w:rFonts w:ascii="宋体" w:hAnsi="宋体" w:eastAsia="宋体" w:cs="Times New Roman"/>
      <w:b/>
      <w:szCs w:val="24"/>
    </w:rPr>
  </w:style>
  <w:style w:type="paragraph" w:customStyle="1" w:styleId="177">
    <w:name w:val="样式1"/>
    <w:basedOn w:val="1"/>
    <w:qFormat/>
    <w:uiPriority w:val="0"/>
    <w:pPr>
      <w:spacing w:before="60" w:line="460" w:lineRule="exact"/>
      <w:ind w:firstLine="454"/>
    </w:pPr>
    <w:rPr>
      <w:rFonts w:ascii="Times New Roman" w:hAnsi="Times New Roman" w:eastAsia="宋体" w:cs="Times New Roman"/>
      <w:sz w:val="24"/>
      <w:szCs w:val="20"/>
    </w:rPr>
  </w:style>
  <w:style w:type="paragraph" w:customStyle="1" w:styleId="178">
    <w:name w:val="标1"/>
    <w:basedOn w:val="1"/>
    <w:link w:val="179"/>
    <w:qFormat/>
    <w:uiPriority w:val="0"/>
    <w:pPr>
      <w:spacing w:before="60" w:line="460" w:lineRule="exact"/>
      <w:outlineLvl w:val="0"/>
    </w:pPr>
    <w:rPr>
      <w:rFonts w:ascii="Times New Roman" w:hAnsi="Times New Roman" w:eastAsia="宋体" w:cs="Times New Roman"/>
      <w:b/>
      <w:sz w:val="32"/>
      <w:szCs w:val="20"/>
    </w:rPr>
  </w:style>
  <w:style w:type="character" w:customStyle="1" w:styleId="179">
    <w:name w:val="标1 Char"/>
    <w:link w:val="178"/>
    <w:qFormat/>
    <w:uiPriority w:val="0"/>
    <w:rPr>
      <w:rFonts w:ascii="Times New Roman" w:hAnsi="Times New Roman" w:eastAsia="宋体" w:cs="Times New Roman"/>
      <w:b/>
      <w:sz w:val="32"/>
      <w:szCs w:val="20"/>
    </w:rPr>
  </w:style>
  <w:style w:type="character" w:customStyle="1" w:styleId="180">
    <w:name w:val="报告表  段 Char"/>
    <w:link w:val="181"/>
    <w:qFormat/>
    <w:uiPriority w:val="0"/>
    <w:rPr>
      <w:rFonts w:ascii="宋体" w:eastAsia="宋体"/>
      <w:sz w:val="24"/>
    </w:rPr>
  </w:style>
  <w:style w:type="paragraph" w:customStyle="1" w:styleId="181">
    <w:name w:val="报告表  段"/>
    <w:basedOn w:val="1"/>
    <w:link w:val="180"/>
    <w:qFormat/>
    <w:uiPriority w:val="0"/>
    <w:pPr>
      <w:adjustRightInd w:val="0"/>
      <w:spacing w:line="360" w:lineRule="auto"/>
      <w:ind w:firstLine="505"/>
      <w:textAlignment w:val="baseline"/>
    </w:pPr>
    <w:rPr>
      <w:rFonts w:ascii="宋体" w:eastAsia="宋体"/>
      <w:sz w:val="24"/>
    </w:rPr>
  </w:style>
  <w:style w:type="paragraph" w:customStyle="1" w:styleId="182">
    <w:name w:val="da"/>
    <w:basedOn w:val="1"/>
    <w:qFormat/>
    <w:uiPriority w:val="0"/>
    <w:pPr>
      <w:widowControl/>
      <w:spacing w:before="100" w:beforeAutospacing="1" w:after="100" w:afterAutospacing="1"/>
      <w:jc w:val="left"/>
    </w:pPr>
    <w:rPr>
      <w:rFonts w:ascii="ˎ̥" w:hAnsi="ˎ̥" w:eastAsia="宋体" w:cs="宋体"/>
      <w:color w:val="000000"/>
      <w:kern w:val="0"/>
      <w:sz w:val="24"/>
      <w:szCs w:val="24"/>
    </w:rPr>
  </w:style>
  <w:style w:type="character" w:customStyle="1" w:styleId="183">
    <w:name w:val="da1"/>
    <w:qFormat/>
    <w:uiPriority w:val="0"/>
    <w:rPr>
      <w:rFonts w:hint="default" w:ascii="ˎ̥" w:hAnsi="ˎ̥"/>
      <w:sz w:val="24"/>
      <w:szCs w:val="24"/>
    </w:rPr>
  </w:style>
  <w:style w:type="character" w:customStyle="1" w:styleId="184">
    <w:name w:val="hei141"/>
    <w:qFormat/>
    <w:uiPriority w:val="0"/>
    <w:rPr>
      <w:color w:val="000000"/>
      <w:sz w:val="21"/>
      <w:szCs w:val="21"/>
    </w:rPr>
  </w:style>
  <w:style w:type="character" w:customStyle="1" w:styleId="185">
    <w:name w:val="正文文本 3 Char"/>
    <w:basedOn w:val="42"/>
    <w:link w:val="20"/>
    <w:qFormat/>
    <w:uiPriority w:val="0"/>
    <w:rPr>
      <w:rFonts w:ascii="Times New Roman" w:hAnsi="Times New Roman" w:eastAsia="宋体" w:cs="Times New Roman"/>
      <w:sz w:val="16"/>
      <w:szCs w:val="16"/>
    </w:rPr>
  </w:style>
  <w:style w:type="paragraph" w:customStyle="1" w:styleId="186">
    <w:name w:val="表头标题"/>
    <w:basedOn w:val="1"/>
    <w:qFormat/>
    <w:uiPriority w:val="0"/>
    <w:pPr>
      <w:adjustRightInd w:val="0"/>
      <w:snapToGrid w:val="0"/>
      <w:jc w:val="center"/>
    </w:pPr>
    <w:rPr>
      <w:rFonts w:ascii="Times New Roman" w:hAnsi="Times New Roman" w:eastAsia="宋体" w:cs="Times New Roman"/>
      <w:b/>
      <w:bCs/>
      <w:color w:val="FF0000"/>
      <w:sz w:val="28"/>
      <w:szCs w:val="28"/>
    </w:rPr>
  </w:style>
  <w:style w:type="character" w:customStyle="1" w:styleId="187">
    <w:name w:val="a121"/>
    <w:qFormat/>
    <w:uiPriority w:val="0"/>
    <w:rPr>
      <w:rFonts w:hint="default" w:ascii="ˎ̥" w:hAnsi="ˎ̥"/>
      <w:color w:val="004891"/>
      <w:sz w:val="18"/>
      <w:szCs w:val="18"/>
      <w:u w:val="none"/>
    </w:rPr>
  </w:style>
  <w:style w:type="paragraph" w:customStyle="1" w:styleId="188">
    <w:name w:val="kt2"/>
    <w:basedOn w:val="1"/>
    <w:qFormat/>
    <w:uiPriority w:val="0"/>
    <w:pPr>
      <w:adjustRightInd w:val="0"/>
      <w:snapToGrid w:val="0"/>
      <w:jc w:val="center"/>
    </w:pPr>
    <w:rPr>
      <w:rFonts w:ascii="宋体" w:hAnsi="宋体" w:eastAsia="宋体" w:cs="Times New Roman"/>
      <w:snapToGrid w:val="0"/>
      <w:szCs w:val="24"/>
    </w:rPr>
  </w:style>
  <w:style w:type="paragraph" w:customStyle="1" w:styleId="189">
    <w:name w:val="正文内容"/>
    <w:basedOn w:val="1"/>
    <w:link w:val="190"/>
    <w:qFormat/>
    <w:uiPriority w:val="0"/>
    <w:pPr>
      <w:overflowPunct w:val="0"/>
      <w:topLinePunct/>
      <w:spacing w:beforeLines="50" w:line="520" w:lineRule="exact"/>
      <w:ind w:firstLine="560" w:firstLineChars="200"/>
    </w:pPr>
    <w:rPr>
      <w:rFonts w:ascii="Times New Roman" w:hAnsi="Times New Roman" w:eastAsia="宋体" w:cs="Times New Roman"/>
      <w:sz w:val="28"/>
      <w:szCs w:val="28"/>
    </w:rPr>
  </w:style>
  <w:style w:type="character" w:customStyle="1" w:styleId="190">
    <w:name w:val="正文内容 Char Char"/>
    <w:link w:val="189"/>
    <w:qFormat/>
    <w:uiPriority w:val="0"/>
    <w:rPr>
      <w:rFonts w:ascii="Times New Roman" w:hAnsi="Times New Roman" w:eastAsia="宋体" w:cs="Times New Roman"/>
      <w:sz w:val="28"/>
      <w:szCs w:val="28"/>
    </w:rPr>
  </w:style>
  <w:style w:type="paragraph" w:customStyle="1" w:styleId="191">
    <w:name w:val="表格文字/16"/>
    <w:basedOn w:val="1"/>
    <w:qFormat/>
    <w:uiPriority w:val="0"/>
    <w:pPr>
      <w:adjustRightInd w:val="0"/>
      <w:snapToGrid w:val="0"/>
      <w:spacing w:line="320" w:lineRule="exact"/>
      <w:jc w:val="center"/>
    </w:pPr>
    <w:rPr>
      <w:rFonts w:ascii="Times New Roman" w:hAnsi="Times New Roman" w:eastAsia="宋体" w:cs="Times New Roman"/>
      <w:color w:val="000000"/>
      <w:kern w:val="32"/>
      <w:szCs w:val="20"/>
    </w:rPr>
  </w:style>
  <w:style w:type="paragraph" w:customStyle="1" w:styleId="192">
    <w:name w:val="公式"/>
    <w:basedOn w:val="1"/>
    <w:qFormat/>
    <w:uiPriority w:val="0"/>
    <w:pPr>
      <w:spacing w:beforeLines="50" w:afterLines="50"/>
      <w:jc w:val="center"/>
    </w:pPr>
    <w:rPr>
      <w:rFonts w:ascii="Times New Roman" w:hAnsi="Times New Roman" w:eastAsia="宋体" w:cs="Times New Roman"/>
      <w:sz w:val="24"/>
      <w:szCs w:val="20"/>
    </w:rPr>
  </w:style>
  <w:style w:type="paragraph" w:customStyle="1" w:styleId="193">
    <w:name w:val="表格文字9"/>
    <w:basedOn w:val="86"/>
    <w:qFormat/>
    <w:uiPriority w:val="0"/>
    <w:pPr>
      <w:tabs>
        <w:tab w:val="clear" w:pos="2880"/>
        <w:tab w:val="clear" w:pos="7380"/>
      </w:tabs>
      <w:spacing w:line="400" w:lineRule="exact"/>
      <w:ind w:right="0"/>
    </w:pPr>
    <w:rPr>
      <w:position w:val="0"/>
      <w:sz w:val="18"/>
      <w:szCs w:val="20"/>
    </w:rPr>
  </w:style>
  <w:style w:type="paragraph" w:customStyle="1" w:styleId="194">
    <w:name w:val="正文文字缩进"/>
    <w:basedOn w:val="1"/>
    <w:next w:val="1"/>
    <w:qFormat/>
    <w:uiPriority w:val="0"/>
    <w:pPr>
      <w:autoSpaceDE w:val="0"/>
      <w:autoSpaceDN w:val="0"/>
      <w:adjustRightInd w:val="0"/>
      <w:jc w:val="left"/>
    </w:pPr>
    <w:rPr>
      <w:rFonts w:ascii="宋体" w:hAnsi="Times New Roman" w:eastAsia="宋体" w:cs="Times New Roman"/>
      <w:kern w:val="0"/>
      <w:sz w:val="24"/>
      <w:szCs w:val="24"/>
    </w:rPr>
  </w:style>
  <w:style w:type="paragraph" w:customStyle="1" w:styleId="195">
    <w:name w:val="3号宋体正文"/>
    <w:basedOn w:val="1"/>
    <w:qFormat/>
    <w:uiPriority w:val="0"/>
    <w:pPr>
      <w:spacing w:line="360" w:lineRule="auto"/>
      <w:ind w:firstLine="737"/>
      <w:jc w:val="left"/>
    </w:pPr>
    <w:rPr>
      <w:rFonts w:ascii="Times New Roman" w:hAnsi="Times New Roman" w:eastAsia="仿宋_GB2312" w:cs="Times New Roman"/>
      <w:snapToGrid w:val="0"/>
      <w:spacing w:val="20"/>
      <w:sz w:val="32"/>
      <w:szCs w:val="24"/>
    </w:rPr>
  </w:style>
  <w:style w:type="paragraph" w:customStyle="1" w:styleId="196">
    <w:name w:val="样式 标题 2H2Chapter Heading2nd levelh22Titre2l2Heading 2ph...1"/>
    <w:basedOn w:val="5"/>
    <w:qFormat/>
    <w:uiPriority w:val="0"/>
    <w:pPr>
      <w:keepNext w:val="0"/>
      <w:keepLines w:val="0"/>
      <w:widowControl w:val="0"/>
      <w:tabs>
        <w:tab w:val="left" w:pos="851"/>
      </w:tabs>
      <w:autoSpaceDE w:val="0"/>
      <w:autoSpaceDN w:val="0"/>
      <w:adjustRightInd w:val="0"/>
      <w:spacing w:beforeLines="0" w:after="120" w:line="240" w:lineRule="auto"/>
    </w:pPr>
    <w:rPr>
      <w:rFonts w:ascii="宋体" w:hAnsi="宋体" w:eastAsia="宋体" w:cs="宋体"/>
      <w:b/>
      <w:color w:val="auto"/>
      <w:kern w:val="0"/>
      <w:sz w:val="32"/>
      <w:szCs w:val="20"/>
    </w:rPr>
  </w:style>
  <w:style w:type="paragraph" w:customStyle="1" w:styleId="197">
    <w:name w:val="样式 标题 3H3标题 3 Char Char CharSectionh33rd levelSection SubH..."/>
    <w:basedOn w:val="6"/>
    <w:qFormat/>
    <w:uiPriority w:val="0"/>
    <w:pPr>
      <w:keepNext w:val="0"/>
      <w:keepLines w:val="0"/>
      <w:tabs>
        <w:tab w:val="left" w:pos="720"/>
      </w:tabs>
      <w:autoSpaceDE w:val="0"/>
      <w:autoSpaceDN w:val="0"/>
      <w:adjustRightInd w:val="0"/>
      <w:spacing w:before="240" w:after="0" w:line="240" w:lineRule="auto"/>
      <w:ind w:left="720" w:hanging="720"/>
    </w:pPr>
    <w:rPr>
      <w:rFonts w:ascii="宋体" w:cs="宋体"/>
      <w:color w:val="000000"/>
      <w:kern w:val="0"/>
      <w:sz w:val="30"/>
      <w:szCs w:val="20"/>
    </w:rPr>
  </w:style>
  <w:style w:type="paragraph" w:customStyle="1" w:styleId="198">
    <w:name w:val="标准表题"/>
    <w:basedOn w:val="14"/>
    <w:qFormat/>
    <w:uiPriority w:val="0"/>
    <w:pPr>
      <w:autoSpaceDE w:val="0"/>
      <w:autoSpaceDN w:val="0"/>
      <w:spacing w:line="240" w:lineRule="auto"/>
      <w:ind w:firstLine="0"/>
      <w:jc w:val="center"/>
    </w:pPr>
    <w:rPr>
      <w:rFonts w:ascii="宋体" w:hAnsi="宋体" w:cs="宋体"/>
      <w:b/>
      <w:bCs/>
      <w:sz w:val="24"/>
    </w:rPr>
  </w:style>
  <w:style w:type="paragraph" w:customStyle="1" w:styleId="199">
    <w:name w:val="标准表格正文"/>
    <w:basedOn w:val="1"/>
    <w:qFormat/>
    <w:uiPriority w:val="0"/>
    <w:pPr>
      <w:spacing w:line="360" w:lineRule="exact"/>
      <w:jc w:val="center"/>
    </w:pPr>
    <w:rPr>
      <w:rFonts w:ascii="宋体" w:hAnsi="宋体" w:eastAsia="宋体" w:cs="宋体"/>
      <w:kern w:val="0"/>
      <w:szCs w:val="20"/>
    </w:rPr>
  </w:style>
  <w:style w:type="paragraph" w:customStyle="1" w:styleId="200">
    <w:name w:val="Char Char1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201">
    <w:name w:val="kt1"/>
    <w:basedOn w:val="1"/>
    <w:qFormat/>
    <w:uiPriority w:val="0"/>
    <w:pPr>
      <w:adjustRightInd w:val="0"/>
      <w:snapToGrid w:val="0"/>
      <w:spacing w:line="480" w:lineRule="exact"/>
      <w:jc w:val="center"/>
    </w:pPr>
    <w:rPr>
      <w:rFonts w:ascii="Times New Roman" w:hAnsi="Times New Roman" w:eastAsia="宋体" w:cs="Times New Roman"/>
      <w:color w:val="FF0000"/>
      <w:sz w:val="24"/>
      <w:szCs w:val="24"/>
    </w:rPr>
  </w:style>
  <w:style w:type="paragraph" w:customStyle="1" w:styleId="202">
    <w:name w:val="bgt"/>
    <w:basedOn w:val="1"/>
    <w:next w:val="1"/>
    <w:qFormat/>
    <w:uiPriority w:val="0"/>
    <w:pPr>
      <w:adjustRightInd w:val="0"/>
      <w:snapToGrid w:val="0"/>
      <w:ind w:left="480"/>
      <w:jc w:val="center"/>
    </w:pPr>
    <w:rPr>
      <w:rFonts w:ascii="宋体" w:hAnsi="宋体" w:eastAsia="宋体" w:cs="Times New Roman"/>
      <w:b/>
      <w:sz w:val="28"/>
      <w:szCs w:val="28"/>
    </w:rPr>
  </w:style>
  <w:style w:type="paragraph" w:customStyle="1" w:styleId="203">
    <w:name w:val="封面标准文稿编辑信息"/>
    <w:qFormat/>
    <w:uiPriority w:val="0"/>
    <w:pPr>
      <w:spacing w:before="180" w:line="180" w:lineRule="atLeast"/>
      <w:jc w:val="center"/>
    </w:pPr>
    <w:rPr>
      <w:rFonts w:hint="eastAsia" w:ascii="宋体" w:hAnsi="Times New Roman" w:eastAsia="宋体" w:cs="Times New Roman"/>
      <w:sz w:val="21"/>
      <w:lang w:val="en-US" w:eastAsia="zh-CN" w:bidi="ar-SA"/>
    </w:rPr>
  </w:style>
  <w:style w:type="paragraph" w:customStyle="1" w:styleId="204">
    <w:name w:val="编号文字"/>
    <w:basedOn w:val="1"/>
    <w:qFormat/>
    <w:uiPriority w:val="0"/>
    <w:pPr>
      <w:tabs>
        <w:tab w:val="left" w:pos="1550"/>
      </w:tabs>
      <w:snapToGrid w:val="0"/>
      <w:spacing w:line="440" w:lineRule="exact"/>
      <w:ind w:left="1550" w:hanging="990"/>
    </w:pPr>
    <w:rPr>
      <w:rFonts w:ascii="Times New Roman" w:hAnsi="Times New Roman" w:eastAsia="宋体" w:cs="Times New Roman"/>
      <w:kern w:val="0"/>
      <w:sz w:val="24"/>
      <w:szCs w:val="20"/>
    </w:rPr>
  </w:style>
  <w:style w:type="paragraph" w:customStyle="1" w:styleId="205">
    <w:name w:val="Char11"/>
    <w:basedOn w:val="1"/>
    <w:qFormat/>
    <w:uiPriority w:val="0"/>
    <w:pPr>
      <w:spacing w:line="360" w:lineRule="auto"/>
      <w:ind w:firstLine="200" w:firstLineChars="200"/>
    </w:pPr>
    <w:rPr>
      <w:rFonts w:ascii="宋体" w:hAnsi="宋体" w:eastAsia="宋体" w:cs="宋体"/>
      <w:sz w:val="24"/>
      <w:szCs w:val="24"/>
    </w:rPr>
  </w:style>
  <w:style w:type="character" w:customStyle="1" w:styleId="206">
    <w:name w:val="keyword1"/>
    <w:basedOn w:val="42"/>
    <w:qFormat/>
    <w:uiPriority w:val="0"/>
  </w:style>
  <w:style w:type="paragraph" w:customStyle="1" w:styleId="207">
    <w:name w:val="Char Char Char1 Char Char Char Char Char Char Char Char Char Char"/>
    <w:basedOn w:val="1"/>
    <w:qFormat/>
    <w:uiPriority w:val="0"/>
    <w:rPr>
      <w:rFonts w:ascii="Times New Roman" w:hAnsi="Times New Roman" w:eastAsia="宋体" w:cs="Times New Roman"/>
      <w:szCs w:val="21"/>
    </w:rPr>
  </w:style>
  <w:style w:type="paragraph" w:customStyle="1" w:styleId="208">
    <w:name w:val="样式2 Char"/>
    <w:basedOn w:val="1"/>
    <w:qFormat/>
    <w:uiPriority w:val="0"/>
    <w:pPr>
      <w:autoSpaceDE w:val="0"/>
      <w:autoSpaceDN w:val="0"/>
      <w:snapToGrid w:val="0"/>
      <w:spacing w:line="360" w:lineRule="auto"/>
    </w:pPr>
    <w:rPr>
      <w:rFonts w:ascii="Times New Roman" w:hAnsi="Times New Roman" w:eastAsia="楷体_GB2312" w:cs="Times New Roman"/>
      <w:spacing w:val="10"/>
      <w:sz w:val="24"/>
      <w:szCs w:val="24"/>
    </w:rPr>
  </w:style>
  <w:style w:type="paragraph" w:customStyle="1" w:styleId="209">
    <w:name w:val="敏感表"/>
    <w:basedOn w:val="1"/>
    <w:next w:val="1"/>
    <w:qFormat/>
    <w:uiPriority w:val="0"/>
    <w:pPr>
      <w:topLinePunct/>
      <w:adjustRightInd w:val="0"/>
      <w:spacing w:line="240" w:lineRule="atLeast"/>
      <w:jc w:val="center"/>
      <w:textAlignment w:val="bottom"/>
    </w:pPr>
    <w:rPr>
      <w:rFonts w:ascii="Times New Roman" w:hAnsi="Times New Roman" w:eastAsia="宋体" w:cs="Times New Roman"/>
      <w:kern w:val="0"/>
      <w:szCs w:val="20"/>
    </w:rPr>
  </w:style>
  <w:style w:type="paragraph" w:customStyle="1" w:styleId="210">
    <w:name w:val="标题四"/>
    <w:basedOn w:val="1"/>
    <w:qFormat/>
    <w:uiPriority w:val="0"/>
    <w:pPr>
      <w:spacing w:beforeLines="30"/>
    </w:pPr>
    <w:rPr>
      <w:rFonts w:ascii="楷体_GB2312" w:hAnsi="Times New Roman" w:eastAsia="楷体_GB2312" w:cs="Times New Roman"/>
      <w:b/>
      <w:sz w:val="24"/>
      <w:szCs w:val="24"/>
    </w:rPr>
  </w:style>
  <w:style w:type="paragraph" w:customStyle="1" w:styleId="211">
    <w:name w:val="Body Text 21"/>
    <w:basedOn w:val="1"/>
    <w:qFormat/>
    <w:uiPriority w:val="0"/>
    <w:pPr>
      <w:autoSpaceDE w:val="0"/>
      <w:autoSpaceDN w:val="0"/>
      <w:adjustRightInd w:val="0"/>
      <w:spacing w:line="480" w:lineRule="exact"/>
      <w:ind w:firstLine="540"/>
      <w:textAlignment w:val="baseline"/>
    </w:pPr>
    <w:rPr>
      <w:rFonts w:ascii="宋体" w:hAnsi="Tms Rmn" w:eastAsia="宋体" w:cs="Times New Roman"/>
      <w:kern w:val="0"/>
      <w:sz w:val="24"/>
      <w:szCs w:val="20"/>
    </w:rPr>
  </w:style>
  <w:style w:type="character" w:customStyle="1" w:styleId="212">
    <w:name w:val="表格文字 Char"/>
    <w:qFormat/>
    <w:uiPriority w:val="0"/>
    <w:rPr>
      <w:rFonts w:eastAsia="宋体"/>
      <w:kern w:val="2"/>
      <w:sz w:val="21"/>
      <w:lang w:val="en-US" w:eastAsia="zh-CN" w:bidi="ar-SA"/>
    </w:rPr>
  </w:style>
  <w:style w:type="paragraph" w:customStyle="1" w:styleId="213">
    <w:name w:val="表内正文"/>
    <w:basedOn w:val="1"/>
    <w:qFormat/>
    <w:uiPriority w:val="0"/>
    <w:pPr>
      <w:ind w:firstLine="200" w:firstLineChars="200"/>
    </w:pPr>
    <w:rPr>
      <w:rFonts w:ascii="仿宋_GB2312" w:hAnsi="宋体" w:eastAsia="仿宋_GB2312" w:cs="Times New Roman"/>
      <w:sz w:val="28"/>
      <w:szCs w:val="24"/>
    </w:rPr>
  </w:style>
  <w:style w:type="paragraph" w:customStyle="1" w:styleId="214">
    <w:name w:val="纯文本2"/>
    <w:basedOn w:val="1"/>
    <w:qFormat/>
    <w:uiPriority w:val="0"/>
    <w:pPr>
      <w:autoSpaceDE w:val="0"/>
      <w:autoSpaceDN w:val="0"/>
      <w:adjustRightInd w:val="0"/>
      <w:spacing w:line="341" w:lineRule="auto"/>
      <w:jc w:val="left"/>
      <w:textAlignment w:val="baseline"/>
    </w:pPr>
    <w:rPr>
      <w:rFonts w:ascii="宋体" w:hAnsi="Courier New" w:eastAsia="宋体" w:cs="Times New Roman"/>
      <w:kern w:val="0"/>
      <w:szCs w:val="20"/>
    </w:rPr>
  </w:style>
  <w:style w:type="character" w:customStyle="1" w:styleId="215">
    <w:name w:val="rrrrrrr"/>
    <w:basedOn w:val="42"/>
    <w:qFormat/>
    <w:uiPriority w:val="0"/>
  </w:style>
  <w:style w:type="paragraph" w:customStyle="1" w:styleId="216">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217">
    <w:name w:val="报告书正文"/>
    <w:basedOn w:val="1"/>
    <w:link w:val="218"/>
    <w:semiHidden/>
    <w:qFormat/>
    <w:uiPriority w:val="0"/>
    <w:pPr>
      <w:spacing w:line="360" w:lineRule="auto"/>
      <w:ind w:firstLine="480" w:firstLineChars="200"/>
    </w:pPr>
    <w:rPr>
      <w:rFonts w:ascii="Times New Roman" w:hAnsi="Times New Roman" w:eastAsia="宋体" w:cs="Times New Roman"/>
      <w:sz w:val="24"/>
      <w:szCs w:val="24"/>
    </w:rPr>
  </w:style>
  <w:style w:type="character" w:customStyle="1" w:styleId="218">
    <w:name w:val="报告书正文 Char"/>
    <w:link w:val="217"/>
    <w:semiHidden/>
    <w:qFormat/>
    <w:uiPriority w:val="0"/>
    <w:rPr>
      <w:rFonts w:ascii="Times New Roman" w:hAnsi="Times New Roman" w:eastAsia="宋体" w:cs="Times New Roman"/>
      <w:sz w:val="24"/>
      <w:szCs w:val="24"/>
    </w:rPr>
  </w:style>
  <w:style w:type="paragraph" w:customStyle="1" w:styleId="219">
    <w:name w:val="五号表格"/>
    <w:basedOn w:val="75"/>
    <w:qFormat/>
    <w:uiPriority w:val="0"/>
    <w:pPr>
      <w:jc w:val="center"/>
    </w:pPr>
    <w:rPr>
      <w:szCs w:val="21"/>
    </w:rPr>
  </w:style>
  <w:style w:type="paragraph" w:customStyle="1" w:styleId="22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1">
    <w:name w:val="text"/>
    <w:basedOn w:val="42"/>
    <w:qFormat/>
    <w:uiPriority w:val="0"/>
  </w:style>
  <w:style w:type="character" w:customStyle="1" w:styleId="222">
    <w:name w:val="题注 Char"/>
    <w:link w:val="16"/>
    <w:qFormat/>
    <w:uiPriority w:val="0"/>
    <w:rPr>
      <w:rFonts w:ascii="Arial" w:hAnsi="Arial" w:eastAsia="黑体" w:cs="Arial"/>
      <w:sz w:val="20"/>
      <w:szCs w:val="20"/>
    </w:rPr>
  </w:style>
  <w:style w:type="character" w:customStyle="1" w:styleId="223">
    <w:name w:val="表中 Char"/>
    <w:link w:val="224"/>
    <w:qFormat/>
    <w:locked/>
    <w:uiPriority w:val="0"/>
    <w:rPr>
      <w:rFonts w:ascii="宋体" w:hAnsi="Batang"/>
      <w:sz w:val="18"/>
    </w:rPr>
  </w:style>
  <w:style w:type="paragraph" w:customStyle="1" w:styleId="224">
    <w:name w:val="表中"/>
    <w:link w:val="223"/>
    <w:qFormat/>
    <w:uiPriority w:val="0"/>
    <w:pPr>
      <w:widowControl w:val="0"/>
      <w:snapToGrid w:val="0"/>
      <w:spacing w:line="280" w:lineRule="exact"/>
      <w:jc w:val="both"/>
    </w:pPr>
    <w:rPr>
      <w:rFonts w:ascii="宋体" w:hAnsi="Batang" w:eastAsiaTheme="minorEastAsia" w:cstheme="minorBidi"/>
      <w:kern w:val="2"/>
      <w:sz w:val="18"/>
      <w:szCs w:val="22"/>
      <w:lang w:val="en-US" w:eastAsia="zh-CN" w:bidi="ar-SA"/>
    </w:rPr>
  </w:style>
  <w:style w:type="character" w:customStyle="1" w:styleId="225">
    <w:name w:val="样式 宋体 小四"/>
    <w:qFormat/>
    <w:uiPriority w:val="0"/>
    <w:rPr>
      <w:rFonts w:ascii="宋体" w:hAnsi="宋体" w:eastAsia="宋体"/>
      <w:sz w:val="24"/>
    </w:rPr>
  </w:style>
  <w:style w:type="character" w:customStyle="1" w:styleId="226">
    <w:name w:val="正文2 Char"/>
    <w:qFormat/>
    <w:uiPriority w:val="0"/>
    <w:rPr>
      <w:rFonts w:cs="宋体"/>
      <w:sz w:val="24"/>
    </w:rPr>
  </w:style>
  <w:style w:type="character" w:customStyle="1" w:styleId="227">
    <w:name w:val="报告正文 Char"/>
    <w:link w:val="228"/>
    <w:qFormat/>
    <w:uiPriority w:val="0"/>
    <w:rPr>
      <w:rFonts w:ascii="宋体"/>
      <w:sz w:val="24"/>
    </w:rPr>
  </w:style>
  <w:style w:type="paragraph" w:customStyle="1" w:styleId="228">
    <w:name w:val="报告正文"/>
    <w:basedOn w:val="1"/>
    <w:link w:val="227"/>
    <w:qFormat/>
    <w:uiPriority w:val="0"/>
    <w:pPr>
      <w:autoSpaceDE w:val="0"/>
      <w:autoSpaceDN w:val="0"/>
      <w:adjustRightInd w:val="0"/>
      <w:spacing w:line="560" w:lineRule="atLeast"/>
      <w:ind w:firstLine="200" w:firstLineChars="200"/>
      <w:textAlignment w:val="baseline"/>
    </w:pPr>
    <w:rPr>
      <w:rFonts w:ascii="宋体"/>
      <w:sz w:val="24"/>
    </w:rPr>
  </w:style>
  <w:style w:type="paragraph" w:customStyle="1" w:styleId="229">
    <w:name w:val="王正文"/>
    <w:basedOn w:val="1"/>
    <w:link w:val="230"/>
    <w:qFormat/>
    <w:uiPriority w:val="0"/>
    <w:pPr>
      <w:widowControl/>
      <w:adjustRightInd w:val="0"/>
      <w:snapToGrid w:val="0"/>
      <w:spacing w:line="560" w:lineRule="exact"/>
      <w:ind w:firstLine="480" w:firstLineChars="200"/>
      <w:jc w:val="left"/>
    </w:pPr>
    <w:rPr>
      <w:rFonts w:ascii="Times New Roman" w:hAnsi="Times New Roman" w:eastAsia="宋体" w:cs="Times New Roman"/>
      <w:kern w:val="44"/>
      <w:sz w:val="24"/>
      <w:szCs w:val="20"/>
    </w:rPr>
  </w:style>
  <w:style w:type="character" w:customStyle="1" w:styleId="230">
    <w:name w:val="王正文 Char"/>
    <w:link w:val="229"/>
    <w:qFormat/>
    <w:uiPriority w:val="0"/>
    <w:rPr>
      <w:rFonts w:ascii="Times New Roman" w:hAnsi="Times New Roman" w:eastAsia="宋体" w:cs="Times New Roman"/>
      <w:kern w:val="44"/>
      <w:sz w:val="24"/>
      <w:szCs w:val="20"/>
    </w:rPr>
  </w:style>
  <w:style w:type="paragraph" w:customStyle="1" w:styleId="231">
    <w:name w:val="zhang正文"/>
    <w:basedOn w:val="22"/>
    <w:qFormat/>
    <w:uiPriority w:val="0"/>
    <w:pPr>
      <w:autoSpaceDE w:val="0"/>
      <w:autoSpaceDN w:val="0"/>
      <w:adjustRightInd w:val="0"/>
      <w:snapToGrid w:val="0"/>
      <w:spacing w:line="500" w:lineRule="exact"/>
      <w:ind w:firstLine="539"/>
      <w:jc w:val="both"/>
      <w:textAlignment w:val="baseline"/>
    </w:pPr>
    <w:rPr>
      <w:rFonts w:ascii="Times New Roman" w:hAnsi="Times New Roman" w:eastAsia="楷体_GB2312"/>
      <w:sz w:val="28"/>
      <w:szCs w:val="20"/>
      <w:u w:color="000000"/>
    </w:rPr>
  </w:style>
  <w:style w:type="paragraph" w:customStyle="1" w:styleId="232">
    <w:name w:val="表格1"/>
    <w:basedOn w:val="1"/>
    <w:link w:val="233"/>
    <w:qFormat/>
    <w:uiPriority w:val="0"/>
    <w:pPr>
      <w:adjustRightInd w:val="0"/>
      <w:spacing w:line="400" w:lineRule="atLeast"/>
      <w:jc w:val="center"/>
    </w:pPr>
    <w:rPr>
      <w:rFonts w:ascii="Times New Roman" w:hAnsi="Times New Roman" w:eastAsia="宋体" w:cs="Times New Roman"/>
      <w:kern w:val="0"/>
      <w:szCs w:val="21"/>
    </w:rPr>
  </w:style>
  <w:style w:type="character" w:customStyle="1" w:styleId="233">
    <w:name w:val="表格1 Char"/>
    <w:link w:val="232"/>
    <w:qFormat/>
    <w:uiPriority w:val="0"/>
    <w:rPr>
      <w:rFonts w:ascii="Times New Roman" w:hAnsi="Times New Roman" w:eastAsia="宋体" w:cs="Times New Roman"/>
      <w:kern w:val="0"/>
      <w:szCs w:val="21"/>
    </w:rPr>
  </w:style>
  <w:style w:type="character" w:customStyle="1" w:styleId="234">
    <w:name w:val="fontstyle01"/>
    <w:basedOn w:val="42"/>
    <w:qFormat/>
    <w:uiPriority w:val="0"/>
    <w:rPr>
      <w:rFonts w:hint="eastAsia" w:ascii="宋体" w:hAnsi="宋体" w:eastAsia="宋体"/>
      <w:color w:val="000000"/>
      <w:sz w:val="36"/>
      <w:szCs w:val="36"/>
    </w:rPr>
  </w:style>
  <w:style w:type="character" w:customStyle="1" w:styleId="235">
    <w:name w:val="fontstyle21"/>
    <w:basedOn w:val="42"/>
    <w:qFormat/>
    <w:uiPriority w:val="0"/>
    <w:rPr>
      <w:rFonts w:hint="default" w:ascii="Helvetica" w:hAnsi="Helvetica"/>
      <w:color w:val="000000"/>
      <w:sz w:val="36"/>
      <w:szCs w:val="36"/>
    </w:rPr>
  </w:style>
  <w:style w:type="paragraph" w:customStyle="1" w:styleId="236">
    <w:name w:val="新利正文"/>
    <w:basedOn w:val="1"/>
    <w:qFormat/>
    <w:uiPriority w:val="99"/>
    <w:pPr>
      <w:adjustRightInd w:val="0"/>
      <w:snapToGrid w:val="0"/>
      <w:spacing w:beforeLines="25" w:line="440" w:lineRule="exact"/>
      <w:ind w:firstLine="480" w:firstLineChars="200"/>
    </w:pPr>
    <w:rPr>
      <w:rFonts w:ascii="Times New Roman" w:hAnsi="Times New Roman" w:eastAsia="宋体" w:cs="Times New Roman"/>
      <w:color w:val="000000"/>
      <w:kern w:val="32"/>
      <w:sz w:val="24"/>
      <w:szCs w:val="24"/>
    </w:rPr>
  </w:style>
  <w:style w:type="paragraph" w:customStyle="1" w:styleId="237">
    <w:name w:val="纯文本11"/>
    <w:basedOn w:val="1"/>
    <w:qFormat/>
    <w:uiPriority w:val="99"/>
    <w:rPr>
      <w:rFonts w:ascii="宋体" w:hAnsi="Courier New" w:cs="宋体"/>
      <w:szCs w:val="21"/>
    </w:rPr>
  </w:style>
  <w:style w:type="paragraph" w:customStyle="1" w:styleId="238">
    <w:name w:val="00标题3"/>
    <w:basedOn w:val="1"/>
    <w:qFormat/>
    <w:uiPriority w:val="0"/>
    <w:pPr>
      <w:spacing w:line="480" w:lineRule="exact"/>
      <w:jc w:val="left"/>
    </w:pPr>
    <w:rPr>
      <w:rFonts w:ascii="Times New Roman" w:hAnsi="Times New Roman" w:eastAsia="宋体" w:cs="Times New Roman"/>
      <w:b/>
      <w:sz w:val="24"/>
    </w:rPr>
  </w:style>
  <w:style w:type="paragraph" w:customStyle="1" w:styleId="239">
    <w:name w:val="00标题2"/>
    <w:basedOn w:val="1"/>
    <w:qFormat/>
    <w:uiPriority w:val="0"/>
    <w:pPr>
      <w:spacing w:line="480" w:lineRule="exact"/>
      <w:jc w:val="left"/>
    </w:pPr>
    <w:rPr>
      <w:rFonts w:ascii="Times New Roman" w:hAnsi="Times New Roman" w:eastAsia="黑体" w:cs="Times New Roman"/>
      <w:sz w:val="24"/>
    </w:rPr>
  </w:style>
  <w:style w:type="character" w:customStyle="1" w:styleId="240">
    <w:name w:val="Default Char"/>
    <w:link w:val="2"/>
    <w:qFormat/>
    <w:locked/>
    <w:uiPriority w:val="0"/>
    <w:rPr>
      <w:rFonts w:ascii="微软雅黑" w:hAnsi="Times New Roman" w:eastAsia="微软雅黑" w:cs="微软雅黑"/>
      <w:color w:val="000000"/>
      <w:kern w:val="0"/>
      <w:sz w:val="24"/>
      <w:szCs w:val="24"/>
    </w:rPr>
  </w:style>
  <w:style w:type="paragraph" w:customStyle="1" w:styleId="241">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42">
    <w:name w:val="zlf正文 Char"/>
    <w:link w:val="243"/>
    <w:qFormat/>
    <w:locked/>
    <w:uiPriority w:val="0"/>
    <w:rPr>
      <w:rFonts w:hAnsi="宋体" w:cs="宋体"/>
      <w:kern w:val="2"/>
      <w:sz w:val="24"/>
    </w:rPr>
  </w:style>
  <w:style w:type="paragraph" w:customStyle="1" w:styleId="243">
    <w:name w:val="zlf正文"/>
    <w:basedOn w:val="1"/>
    <w:link w:val="242"/>
    <w:qFormat/>
    <w:uiPriority w:val="0"/>
    <w:pPr>
      <w:snapToGrid w:val="0"/>
      <w:spacing w:line="360" w:lineRule="auto"/>
      <w:ind w:firstLine="200" w:firstLineChars="200"/>
    </w:pPr>
    <w:rPr>
      <w:rFonts w:ascii="Times New Roman" w:hAnsi="宋体" w:eastAsia="宋体" w:cs="宋体"/>
      <w:sz w:val="24"/>
      <w:szCs w:val="20"/>
    </w:rPr>
  </w:style>
  <w:style w:type="paragraph" w:customStyle="1" w:styleId="244">
    <w:name w:val="6表内文字 居中"/>
    <w:basedOn w:val="1"/>
    <w:qFormat/>
    <w:uiPriority w:val="0"/>
    <w:pPr>
      <w:adjustRightInd w:val="0"/>
      <w:snapToGrid w:val="0"/>
      <w:jc w:val="center"/>
      <w:textAlignment w:val="baseline"/>
    </w:pPr>
    <w:rPr>
      <w:rFonts w:ascii="Times New Roman" w:hAnsi="Times New Roman" w:eastAsia="宋体" w:cs="Times New Roman"/>
      <w:snapToGrid w:val="0"/>
      <w:kern w:val="0"/>
      <w:szCs w:val="24"/>
    </w:rPr>
  </w:style>
  <w:style w:type="paragraph" w:customStyle="1" w:styleId="245">
    <w:name w:val="正规正文"/>
    <w:basedOn w:val="1"/>
    <w:qFormat/>
    <w:uiPriority w:val="0"/>
    <w:pPr>
      <w:spacing w:line="480" w:lineRule="exact"/>
      <w:ind w:firstLine="200" w:firstLineChars="200"/>
    </w:pPr>
    <w:rPr>
      <w:rFonts w:ascii="Times New Roman" w:hAnsi="Times New Roman" w:eastAsia="宋体"/>
      <w:sz w:val="24"/>
    </w:rPr>
  </w:style>
  <w:style w:type="paragraph" w:customStyle="1" w:styleId="246">
    <w:name w:val="Table Paragraph"/>
    <w:basedOn w:val="1"/>
    <w:qFormat/>
    <w:uiPriority w:val="0"/>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2.png"/><Relationship Id="rId25" Type="http://schemas.openxmlformats.org/officeDocument/2006/relationships/image" Target="media/image11.emf"/><Relationship Id="rId24" Type="http://schemas.openxmlformats.org/officeDocument/2006/relationships/image" Target="media/image10.wmf"/><Relationship Id="rId23" Type="http://schemas.openxmlformats.org/officeDocument/2006/relationships/oleObject" Target="embeddings/oleObject5.bin"/><Relationship Id="rId22" Type="http://schemas.openxmlformats.org/officeDocument/2006/relationships/image" Target="media/image9.wmf"/><Relationship Id="rId21" Type="http://schemas.openxmlformats.org/officeDocument/2006/relationships/oleObject" Target="embeddings/oleObject4.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7.wmf"/><Relationship Id="rId17" Type="http://schemas.openxmlformats.org/officeDocument/2006/relationships/oleObject" Target="embeddings/oleObject2.bin"/><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54"/>
    <customShpInfo spid="_x0000_s1038"/>
    <customShpInfo spid="_x0000_s1039"/>
    <customShpInfo spid="_x0000_s1041"/>
    <customShpInfo spid="_x0000_s1042"/>
    <customShpInfo spid="_x0000_s1045"/>
    <customShpInfo spid="_x0000_s1046"/>
    <customShpInfo spid="_x0000_s1047"/>
    <customShpInfo spid="_x0000_s1140"/>
    <customShpInfo spid="_x0000_s1141"/>
    <customShpInfo spid="_x0000_s1153"/>
    <customShpInfo spid="_x0000_s1154"/>
    <customShpInfo spid="_x0000_s1213"/>
    <customShpInfo spid="_x0000_s1216"/>
    <customShpInfo spid="_x0000_s1217"/>
    <customShpInfo spid="_x0000_s1214"/>
    <customShpInfo spid="_x0000_s1215"/>
    <customShpInfo spid="_x0000_s1218"/>
    <customShpInfo spid="_x0000_s1219"/>
    <customShpInfo spid="_x0000_s1068"/>
    <customShpInfo spid="_x0000_s1075"/>
    <customShpInfo spid="_x0000_s1076"/>
    <customShpInfo spid="_x0000_s1078"/>
    <customShpInfo spid="_x0000_s1115"/>
    <customShpInfo spid="_x0000_s1108"/>
    <customShpInfo spid="_x0000_s1109"/>
    <customShpInfo spid="_x0000_s1080"/>
    <customShpInfo spid="_x0000_s1110"/>
    <customShpInfo spid="_x0000_s1081"/>
    <customShpInfo spid="_x0000_s1082"/>
    <customShpInfo spid="_x0000_s1083"/>
    <customShpInfo spid="_x0000_s1085"/>
    <customShpInfo spid="_x0000_s1086"/>
    <customShpInfo spid="_x0000_s1087"/>
    <customShpInfo spid="_x0000_s1089"/>
    <customShpInfo spid="_x0000_s1090"/>
    <customShpInfo spid="_x0000_s1092"/>
    <customShpInfo spid="_x0000_s1093"/>
    <customShpInfo spid="_x0000_s1094"/>
    <customShpInfo spid="_x0000_s1095"/>
    <customShpInfo spid="_x0000_s1096"/>
    <customShpInfo spid="_x0000_s1099"/>
    <customShpInfo spid="_x0000_s1103"/>
    <customShpInfo spid="_x0000_s1104"/>
    <customShpInfo spid="_x0000_s1105"/>
    <customShpInfo spid="_x0000_s1040"/>
    <customShpInfo spid="_x0000_s1043"/>
    <customShpInfo spid="_x0000_s1044"/>
    <customShpInfo spid="_x0000_s1052"/>
    <customShpInfo spid="_x0000_s1071"/>
    <customShpInfo spid="_x0000_s1107"/>
    <customShpInfo spid="_x0000_s1106"/>
    <customShpInfo spid="_x0000_s1113"/>
    <customShpInfo spid="_x0000_s1114"/>
    <customShpInfo spid="_x0000_s1030"/>
    <customShpInfo spid="_x0000_s1031"/>
    <customShpInfo spid="_x0000_s1032"/>
    <customShpInfo spid="_x0000_s1033"/>
    <customShpInfo spid="_x0000_s1034"/>
    <customShpInfo spid="_x0000_s1211"/>
    <customShpInfo spid="_x0000_s1212"/>
    <customShpInfo spid="_x0000_s1050"/>
    <customShpInfo spid="_x0000_s1051"/>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6"/>
    <customShpInfo spid="_x0000_s1067"/>
    <customShpInfo spid="_x0000_s1069"/>
    <customShpInfo spid="_x0000_s1070"/>
    <customShpInfo spid="_x0000_s1073"/>
    <customShpInfo spid="_x0000_s1077"/>
    <customShpInfo spid="_x0000_s1084"/>
    <customShpInfo spid="_x0000_s1091"/>
    <customShpInfo spid="_x0000_s1097"/>
    <customShpInfo spid="_x0000_s1098"/>
    <customShpInfo spid="_x0000_s1100"/>
    <customShpInfo spid="_x0000_s1101"/>
    <customShpInfo spid="_x0000_s1102"/>
    <customShpInfo spid="_x0000_s1116"/>
    <customShpInfo spid="_x0000_s1120"/>
    <customShpInfo spid="_x0000_s1127"/>
    <customShpInfo spid="_x0000_s1128"/>
    <customShpInfo spid="_x0000_s1129"/>
    <customShpInfo spid="_x0000_s1130"/>
    <customShpInfo spid="_x0000_s1131"/>
    <customShpInfo spid="_x0000_s1132"/>
    <customShpInfo spid="_x0000_s1138"/>
    <customShpInfo spid="_x0000_s1139"/>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71"/>
    <customShpInfo spid="_x0000_s1175"/>
    <customShpInfo spid="_x0000_s1179"/>
    <customShpInfo spid="_x0000_s1176"/>
    <customShpInfo spid="_x0000_s1177"/>
    <customShpInfo spid="_x0000_s1112"/>
    <customShpInfo spid="_x0000_s1111"/>
    <customShpInfo spid="_x0000_s1157"/>
    <customShpInfo spid="_x0000_s1158"/>
    <customShpInfo spid="_x0000_s1049"/>
    <customShpInfo spid="_x0000_s1065"/>
    <customShpInfo spid="_x0000_s1072"/>
    <customShpInfo spid="_x0000_s1029"/>
    <customShpInfo spid="_x0000_s1160"/>
    <customShpInfo spid="_x0000_s1161"/>
    <customShpInfo spid="_x0000_s1162"/>
    <customShpInfo spid="_x0000_s1159"/>
    <customShpInfo spid="_x0000_s1172"/>
    <customShpInfo spid="_x0000_s1173"/>
    <customShpInfo spid="_x0000_s1174"/>
    <customShpInfo spid="_x0000_s1180"/>
    <customShpInfo spid="_x0000_s1178"/>
    <customShpInfo spid="_x0000_s1164"/>
    <customShpInfo spid="_x0000_s1165"/>
    <customShpInfo spid="_x0000_s1166"/>
    <customShpInfo spid="_x0000_s1163"/>
    <customShpInfo spid="_x0000_s1181"/>
    <customShpInfo spid="_x0000_s1210"/>
    <customShpInfo spid="_x0000_s1186"/>
    <customShpInfo spid="_x0000_s1193"/>
    <customShpInfo spid="_x0000_s1199"/>
    <customShpInfo spid="_x0000_s1201"/>
    <customShpInfo spid="_x0000_s1187"/>
    <customShpInfo spid="_x0000_s1194"/>
    <customShpInfo spid="_x0000_s1195"/>
    <customShpInfo spid="_x0000_s1188"/>
    <customShpInfo spid="_x0000_s1189"/>
    <customShpInfo spid="_x0000_s1190"/>
    <customShpInfo spid="_x0000_s1191"/>
    <customShpInfo spid="_x0000_s1192"/>
    <customShpInfo spid="_x0000_s1196"/>
    <customShpInfo spid="_x0000_s1197"/>
    <customShpInfo spid="_x0000_s1198"/>
    <customShpInfo spid="_x0000_s1200"/>
    <customShpInfo spid="_x0000_s1202"/>
    <customShpInfo spid="_x0000_s1203"/>
    <customShpInfo spid="_x0000_s1204"/>
    <customShpInfo spid="_x0000_s1205"/>
    <customShpInfo spid="_x0000_s1206"/>
    <customShpInfo spid="_x0000_s1207"/>
    <customShpInfo spid="_x0000_s1208"/>
    <customShpInfo spid="_x0000_s120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13621-E9ED-4523-8A33-33AD9AC3896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72</Pages>
  <Words>37280</Words>
  <Characters>42332</Characters>
  <Lines>328</Lines>
  <Paragraphs>92</Paragraphs>
  <TotalTime>21</TotalTime>
  <ScaleCrop>false</ScaleCrop>
  <LinksUpToDate>false</LinksUpToDate>
  <CharactersWithSpaces>42807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2020-01-14T10:13:00Z</dcterms:created>
  <dc:creator>微软用户</dc:creator>
  <cp:lastModifiedBy>Administrator</cp:lastModifiedBy>
  <dcterms:modified xsi:type="dcterms:W3CDTF">2021-01-25T03:17:08Z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