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政府信息公开工作年度报告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总体情况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代县旅游服务中心2019年度政府信息公开工作根据本单位现有职能进行，严格贯彻落实《中华人民共和国政府信息公开条例》的内容要求，进行政府集中采购1次，采购总金额130万元。除此之外无其他相关需要政府信息公开的工作或职能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主动公开政府信息情况</w:t>
      </w:r>
    </w:p>
    <w:tbl>
      <w:tblPr>
        <w:tblStyle w:val="3"/>
        <w:tblW w:w="8355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875"/>
        <w:gridCol w:w="19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第二十条第(一)项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本年新制作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规章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第二十条第(五)项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第二十条第(六)项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第二十条第(八)项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83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第二十条第(九)项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130万元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收到和处理政府信息公开申请情况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3"/>
        <w:tblW w:w="9142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6"/>
        <w:gridCol w:w="1829"/>
        <w:gridCol w:w="758"/>
        <w:gridCol w:w="868"/>
        <w:gridCol w:w="705"/>
        <w:gridCol w:w="990"/>
        <w:gridCol w:w="1074"/>
        <w:gridCol w:w="58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3224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(本列数据的勾稽关系为:第一项加第二之和，等于第三项加第四项之和）</w:t>
            </w:r>
          </w:p>
        </w:tc>
        <w:tc>
          <w:tcPr>
            <w:tcW w:w="591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322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2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8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3" w:hRule="atLeast"/>
        </w:trPr>
        <w:tc>
          <w:tcPr>
            <w:tcW w:w="322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32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32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5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（二）部分公开区分处理的，只计这情形，不计共他情形)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公开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atLeast"/>
        </w:trPr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危及“三安全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一稳定”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8.属于行政查询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事项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0" w:hRule="atLeast"/>
        </w:trPr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提供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2.没有现成信息需耍号行制作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处理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1.信防举报投诉类申请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3.要求提供公开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出版物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政府信息公开行政复议、行政诉讼情况</w:t>
      </w:r>
    </w:p>
    <w:tbl>
      <w:tblPr>
        <w:tblStyle w:val="3"/>
        <w:tblpPr w:leftFromText="180" w:rightFromText="180" w:vertAnchor="text" w:horzAnchor="page" w:tblpX="1860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审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4" w:hRule="atLeast"/>
        </w:trPr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维持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存在的主要问题及改进情况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旅游服务中心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政府信息公开工作取得了显著的成效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但离上级的要求还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有些距离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，在工作中也出现了一些问题。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 xml:space="preserve"> 一是没有及时准确地公开信息。由于政府信息公开工作是一项新鲜事务，开展的时间短，任务重，加之工作人员较少，兼职人员业务不熟，经验不够，且信息源的数量比较少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，存在部分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对应公开的没有及时公开。二对公开的信息定位不够准。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改进情况：已对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上述问题进行整改。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会继续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严格按照《中华人民共和国政府信息公开条例》等有关文件的规定，不断学习提高，认真查找不足，完善整改措施，切实加强信息收集、整理和发布工作，在政府的领导和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相关部门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的指导下，我们一定努力工作不断改进工作方法，不断开创政府信息公开工作的新局面。</w:t>
      </w:r>
    </w:p>
    <w:p>
      <w:pPr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其他需要报告的事项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本单位在政府信息公开工作方面无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其他需要报告的事项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。今后将根据本单位职能继续严格贯彻落实《中华人民共和国政府信息公开条例》的内容要求。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D978C"/>
    <w:multiLevelType w:val="singleLevel"/>
    <w:tmpl w:val="EC5D978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83A53D"/>
    <w:multiLevelType w:val="singleLevel"/>
    <w:tmpl w:val="0B83A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52F535"/>
    <w:multiLevelType w:val="singleLevel"/>
    <w:tmpl w:val="4552F53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0F14"/>
    <w:rsid w:val="02A67BEC"/>
    <w:rsid w:val="0EE90F14"/>
    <w:rsid w:val="0F3F429E"/>
    <w:rsid w:val="281B62C3"/>
    <w:rsid w:val="40FC3181"/>
    <w:rsid w:val="43C25479"/>
    <w:rsid w:val="663F6B49"/>
    <w:rsid w:val="66F34E4D"/>
    <w:rsid w:val="76420CE5"/>
    <w:rsid w:val="7D0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2020-01-13T08:08:00Z</dcterms:created>
  <dc:creator>西大街代县特产店</dc:creator>
  <cp:lastModifiedBy>西大街代县特产店</cp:lastModifiedBy>
  <cp:lastPrinted>2020-01-14T03:18:00Z</cp:lastPrinted>
  <dcterms:modified xsi:type="dcterms:W3CDTF">2020-01-14T09:10:38Z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