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8242A">
      <w:pPr>
        <w:pStyle w:val="10"/>
        <w:keepLines w:val="0"/>
        <w:adjustRightInd w:val="0"/>
        <w:snapToGrid w:val="0"/>
        <w:spacing w:line="576" w:lineRule="exact"/>
        <w:ind w:firstLine="0" w:firstLineChars="0"/>
        <w:jc w:val="left"/>
        <w:rPr>
          <w:rFonts w:ascii="Times New Roman" w:hAnsi="Times New Roman" w:cs="Times New Roman"/>
          <w:kern w:val="2"/>
          <w:sz w:val="32"/>
          <w:szCs w:val="32"/>
        </w:rPr>
      </w:pPr>
      <w:r>
        <w:rPr>
          <w:rFonts w:hint="eastAsia" w:ascii="黑体" w:hAnsi="黑体" w:cs="黑体"/>
          <w:kern w:val="2"/>
          <w:sz w:val="32"/>
          <w:szCs w:val="32"/>
        </w:rPr>
        <w:t>附件</w:t>
      </w:r>
      <w:r>
        <w:rPr>
          <w:rFonts w:ascii="Times New Roman" w:hAnsi="Times New Roman" w:cs="Times New Roman"/>
          <w:kern w:val="2"/>
          <w:sz w:val="32"/>
          <w:szCs w:val="32"/>
        </w:rPr>
        <w:t>3</w:t>
      </w:r>
    </w:p>
    <w:p w14:paraId="19EDC85A">
      <w:pPr>
        <w:pStyle w:val="10"/>
        <w:keepLines w:val="0"/>
        <w:adjustRightInd w:val="0"/>
        <w:snapToGrid w:val="0"/>
        <w:spacing w:line="576" w:lineRule="exact"/>
        <w:ind w:firstLine="880"/>
        <w:outlineLvl w:val="9"/>
        <w:rPr>
          <w:rFonts w:ascii="Times New Roman" w:hAnsi="Times New Roman" w:eastAsia="方正小标宋_GBK" w:cs="Times New Roman"/>
          <w:kern w:val="0"/>
          <w:sz w:val="44"/>
        </w:rPr>
      </w:pPr>
      <w:r>
        <w:rPr>
          <w:rFonts w:ascii="Times New Roman" w:hAnsi="Times New Roman" w:eastAsia="方正小标宋_GBK" w:cs="Times New Roman"/>
          <w:kern w:val="0"/>
          <w:sz w:val="44"/>
        </w:rPr>
        <w:t>名词解释</w:t>
      </w:r>
    </w:p>
    <w:p w14:paraId="69BD4ED9">
      <w:pPr>
        <w:pStyle w:val="9"/>
        <w:adjustRightInd w:val="0"/>
        <w:snapToGrid w:val="0"/>
        <w:spacing w:line="576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 w14:paraId="5325844E">
      <w:pPr>
        <w:pStyle w:val="9"/>
        <w:adjustRightInd w:val="0"/>
        <w:snapToGrid w:val="0"/>
        <w:spacing w:line="576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一、降水等级标准划分</w:t>
      </w:r>
    </w:p>
    <w:tbl>
      <w:tblPr>
        <w:tblStyle w:val="6"/>
        <w:tblW w:w="9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432"/>
        <w:gridCol w:w="1581"/>
        <w:gridCol w:w="1773"/>
        <w:gridCol w:w="1500"/>
        <w:gridCol w:w="1558"/>
      </w:tblGrid>
      <w:tr w14:paraId="03A7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0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A9AE71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中国气象局降水等级标准划分表</w:t>
            </w:r>
          </w:p>
        </w:tc>
      </w:tr>
      <w:tr w14:paraId="4DED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176" w:type="dxa"/>
            <w:vMerge w:val="restart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995CC4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降水用语</w:t>
            </w:r>
          </w:p>
        </w:tc>
        <w:tc>
          <w:tcPr>
            <w:tcW w:w="3013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EB088C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降水量标准（mm）</w:t>
            </w:r>
          </w:p>
        </w:tc>
        <w:tc>
          <w:tcPr>
            <w:tcW w:w="1773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07CD79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降水用语</w:t>
            </w:r>
          </w:p>
        </w:tc>
        <w:tc>
          <w:tcPr>
            <w:tcW w:w="3058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08A1FC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降水量标准（mm）</w:t>
            </w:r>
          </w:p>
        </w:tc>
      </w:tr>
      <w:tr w14:paraId="77322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176" w:type="dxa"/>
            <w:vMerge w:val="continue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951B0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262626"/>
                <w:sz w:val="24"/>
              </w:rPr>
            </w:pPr>
          </w:p>
        </w:tc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FB29D7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12小时</w:t>
            </w:r>
          </w:p>
        </w:tc>
        <w:tc>
          <w:tcPr>
            <w:tcW w:w="1581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E9D9B6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24小时</w:t>
            </w:r>
          </w:p>
        </w:tc>
        <w:tc>
          <w:tcPr>
            <w:tcW w:w="1773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FD54F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262626"/>
                <w:sz w:val="24"/>
              </w:rPr>
            </w:pP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4D6831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12小时</w:t>
            </w:r>
          </w:p>
        </w:tc>
        <w:tc>
          <w:tcPr>
            <w:tcW w:w="1558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CB956E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24小时</w:t>
            </w:r>
          </w:p>
        </w:tc>
      </w:tr>
      <w:tr w14:paraId="61AA7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176" w:type="dxa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4B3328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小雨</w:t>
            </w:r>
          </w:p>
        </w:tc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16D654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0.1－4.9</w:t>
            </w:r>
          </w:p>
        </w:tc>
        <w:tc>
          <w:tcPr>
            <w:tcW w:w="1581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0B9D7F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0.1－9.9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6BE9D2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小到中雨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741FEE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3.0－9.9</w:t>
            </w:r>
          </w:p>
        </w:tc>
        <w:tc>
          <w:tcPr>
            <w:tcW w:w="1558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59148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5.0－16.9</w:t>
            </w:r>
          </w:p>
        </w:tc>
      </w:tr>
      <w:tr w14:paraId="7C3E7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176" w:type="dxa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ABF166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中雨</w:t>
            </w:r>
          </w:p>
        </w:tc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657F3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5.0－14.9</w:t>
            </w:r>
          </w:p>
        </w:tc>
        <w:tc>
          <w:tcPr>
            <w:tcW w:w="1581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C21907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10.0－24.9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3D57DC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中到大雨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6B59CA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10.0－22.9</w:t>
            </w:r>
          </w:p>
        </w:tc>
        <w:tc>
          <w:tcPr>
            <w:tcW w:w="1558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6BE0B8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17.0－37.9</w:t>
            </w:r>
          </w:p>
        </w:tc>
      </w:tr>
      <w:tr w14:paraId="7ABD5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176" w:type="dxa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799BEB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大雨</w:t>
            </w:r>
          </w:p>
        </w:tc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B2508F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15.0－29.9</w:t>
            </w:r>
          </w:p>
        </w:tc>
        <w:tc>
          <w:tcPr>
            <w:tcW w:w="1581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09AB0C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25.0－49.9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68B1E0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大到暴雨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CD342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23.0－49.9</w:t>
            </w:r>
          </w:p>
        </w:tc>
        <w:tc>
          <w:tcPr>
            <w:tcW w:w="1558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2EF3CA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38.0－74.9</w:t>
            </w:r>
          </w:p>
        </w:tc>
      </w:tr>
      <w:tr w14:paraId="5209F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176" w:type="dxa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B9639D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暴雨</w:t>
            </w:r>
          </w:p>
        </w:tc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BB9603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30.0－69.9</w:t>
            </w:r>
          </w:p>
        </w:tc>
        <w:tc>
          <w:tcPr>
            <w:tcW w:w="1581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938129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50.0－99.9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C1D655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暴雨到大暴雨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4F7B1E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50.0－104.9</w:t>
            </w:r>
          </w:p>
        </w:tc>
        <w:tc>
          <w:tcPr>
            <w:tcW w:w="1558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FAF833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75.0－174.9</w:t>
            </w:r>
          </w:p>
        </w:tc>
      </w:tr>
      <w:tr w14:paraId="6EA58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76" w:type="dxa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46F270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大暴雨</w:t>
            </w:r>
          </w:p>
        </w:tc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AC92EB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70.0－140.0</w:t>
            </w:r>
          </w:p>
        </w:tc>
        <w:tc>
          <w:tcPr>
            <w:tcW w:w="1581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50A686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100.0－250.0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6BC196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大暴雨到特大暴雨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CE0BB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  <w:spacing w:val="-14"/>
              </w:rPr>
              <w:t>105.0－170.0</w:t>
            </w:r>
          </w:p>
        </w:tc>
        <w:tc>
          <w:tcPr>
            <w:tcW w:w="1558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2DB83F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175.0－300.0</w:t>
            </w:r>
          </w:p>
        </w:tc>
      </w:tr>
      <w:tr w14:paraId="77F00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176" w:type="dxa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06971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特大暴雨</w:t>
            </w:r>
          </w:p>
        </w:tc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C9B4B9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＞140.0</w:t>
            </w:r>
          </w:p>
        </w:tc>
        <w:tc>
          <w:tcPr>
            <w:tcW w:w="1581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8A5310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262626"/>
              </w:rPr>
              <w:t>＞250.0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9DB91E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05941F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58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C0ED00"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</w:p>
        </w:tc>
      </w:tr>
    </w:tbl>
    <w:p w14:paraId="172DB2B2">
      <w:pPr>
        <w:pStyle w:val="9"/>
        <w:adjustRightInd w:val="0"/>
        <w:snapToGrid w:val="0"/>
        <w:spacing w:line="576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二、暴雨预警信号标准：</w:t>
      </w:r>
    </w:p>
    <w:p w14:paraId="10E53F2D">
      <w:pPr>
        <w:pStyle w:val="9"/>
        <w:adjustRightInd w:val="0"/>
        <w:snapToGrid w:val="0"/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暴雨预警分为四级，分别以蓝色、黄色、橙色、红色表示。</w:t>
      </w:r>
    </w:p>
    <w:p w14:paraId="1503A2AD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暴雨蓝色预警信号：12小时内将出现雨强30毫米/小时以上的降雨；12小时内降雨量将达50毫米以上；或已达50毫米以上且降雨可能持续。</w:t>
      </w:r>
    </w:p>
    <w:p w14:paraId="5BE608A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暴雨黄色预警信号：6小时内将出现雨强50毫米/小时以上的降雨；6小时内降雨量将达50毫米以上；或已达50毫米以上且降雨可能持续。</w:t>
      </w:r>
    </w:p>
    <w:p w14:paraId="200558D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暴雨橙色预警信号：3小时内将出现雨强60毫米/小时以上的降雨；3小时内降雨量将达50毫米以上；或已达50毫米以上且降雨可能持续。</w:t>
      </w:r>
    </w:p>
    <w:p w14:paraId="4B1E475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暴雨红色预警信号：3小时内将出现雨强75毫米/小时以上的降雨；3小时内降雨量将达100毫米以上；或已达100毫米以上且降雨可能持续。</w:t>
      </w:r>
    </w:p>
    <w:p w14:paraId="1C69BB3F">
      <w:pPr>
        <w:pStyle w:val="5"/>
        <w:adjustRightInd w:val="0"/>
        <w:snapToGrid w:val="0"/>
        <w:spacing w:beforeAutospacing="0" w:afterAutospacing="0" w:line="576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三、洪水</w:t>
      </w:r>
    </w:p>
    <w:p w14:paraId="1FEB2A79">
      <w:pPr>
        <w:pStyle w:val="5"/>
        <w:adjustRightInd w:val="0"/>
        <w:snapToGrid w:val="0"/>
        <w:spacing w:beforeAutospacing="0" w:afterAutospacing="0" w:line="576" w:lineRule="exact"/>
        <w:ind w:firstLine="640" w:firstLineChars="200"/>
        <w:jc w:val="both"/>
        <w:rPr>
          <w:rFonts w:ascii="Times New Roman" w:hAnsi="Times New Roman" w:eastAsia="仿宋_GB2312"/>
          <w:spacing w:val="-9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小</w:t>
      </w:r>
      <w:r>
        <w:rPr>
          <w:rFonts w:ascii="Times New Roman" w:hAnsi="Times New Roman" w:eastAsia="仿宋_GB2312"/>
          <w:spacing w:val="-9"/>
          <w:sz w:val="32"/>
          <w:szCs w:val="32"/>
        </w:rPr>
        <w:t>洪水：洪峰流量或洪量的重现期小于5年一遇的洪水。</w:t>
      </w:r>
    </w:p>
    <w:p w14:paraId="358142F9">
      <w:pPr>
        <w:pStyle w:val="5"/>
        <w:adjustRightInd w:val="0"/>
        <w:snapToGrid w:val="0"/>
        <w:spacing w:beforeAutospacing="0" w:afterAutospacing="0" w:line="57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一般洪水：洪峰流量或洪量的重现期5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—</w:t>
      </w:r>
      <w:r>
        <w:rPr>
          <w:rFonts w:ascii="Times New Roman" w:hAnsi="Times New Roman" w:eastAsia="仿宋_GB2312"/>
          <w:sz w:val="32"/>
          <w:szCs w:val="32"/>
        </w:rPr>
        <w:t>10年一遇的洪水。</w:t>
      </w:r>
    </w:p>
    <w:p w14:paraId="5D3CDBAC">
      <w:pPr>
        <w:pStyle w:val="5"/>
        <w:adjustRightInd w:val="0"/>
        <w:snapToGrid w:val="0"/>
        <w:spacing w:beforeAutospacing="0" w:afterAutospacing="0" w:line="57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较大洪水：洪峰流量或洪量的重现期10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—</w:t>
      </w:r>
      <w:r>
        <w:rPr>
          <w:rFonts w:ascii="Times New Roman" w:hAnsi="Times New Roman" w:eastAsia="仿宋_GB2312"/>
          <w:sz w:val="32"/>
          <w:szCs w:val="32"/>
        </w:rPr>
        <w:t>20年一遇的洪水。</w:t>
      </w:r>
    </w:p>
    <w:p w14:paraId="6FCA4475">
      <w:pPr>
        <w:pStyle w:val="5"/>
        <w:adjustRightInd w:val="0"/>
        <w:snapToGrid w:val="0"/>
        <w:spacing w:beforeAutospacing="0" w:afterAutospacing="0" w:line="576" w:lineRule="exact"/>
        <w:ind w:firstLine="596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大洪水：洪峰流量或洪量的重现期20</w:t>
      </w:r>
      <w:r>
        <w:rPr>
          <w:rFonts w:hint="eastAsia" w:ascii="Times New Roman" w:hAnsi="Times New Roman" w:eastAsia="仿宋_GB2312"/>
          <w:spacing w:val="-11"/>
          <w:sz w:val="32"/>
          <w:szCs w:val="32"/>
          <w:lang w:eastAsia="zh-CN"/>
        </w:rPr>
        <w:t>—</w:t>
      </w:r>
      <w:r>
        <w:rPr>
          <w:rFonts w:ascii="Times New Roman" w:hAnsi="Times New Roman" w:eastAsia="仿宋_GB2312"/>
          <w:spacing w:val="-11"/>
          <w:sz w:val="32"/>
          <w:szCs w:val="32"/>
        </w:rPr>
        <w:t>50年一遇的洪水。</w:t>
      </w:r>
    </w:p>
    <w:p w14:paraId="43C74823">
      <w:pPr>
        <w:pStyle w:val="5"/>
        <w:adjustRightInd w:val="0"/>
        <w:snapToGrid w:val="0"/>
        <w:spacing w:beforeAutospacing="0" w:afterAutospacing="0" w:line="57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特大洪水：洪峰流量或洪量的重现期大于50年一遇的洪水。</w:t>
      </w:r>
    </w:p>
    <w:p w14:paraId="4C0DBB8E">
      <w:p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四、洪水预警标准</w:t>
      </w:r>
    </w:p>
    <w:p w14:paraId="0CB3DD82">
      <w:pPr>
        <w:spacing w:line="5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洪水蓝色预警：流量接近警戒流量，流量重现期大于等于5年小于10年。（满足上述条件之一即可确定，下同）</w:t>
      </w:r>
    </w:p>
    <w:p w14:paraId="2DD0CA4A">
      <w:pPr>
        <w:spacing w:line="5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洪水黄色预警：流量达到或超过警戒流量，流量重现期大于等于10年小于20年。</w:t>
      </w:r>
    </w:p>
    <w:p w14:paraId="2121DBE3">
      <w:pPr>
        <w:spacing w:line="5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洪水橙色预警：流量达到或超过保证流量，流量重现期大于等于20年小于50年。</w:t>
      </w:r>
    </w:p>
    <w:p w14:paraId="799B71C0">
      <w:pPr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洪水红色预警：流量达到或超过实测最大流量，流量重现期大于等于50年。</w:t>
      </w:r>
    </w:p>
    <w:p w14:paraId="682FBDB9">
      <w:pPr>
        <w:pStyle w:val="5"/>
        <w:adjustRightInd w:val="0"/>
        <w:snapToGrid w:val="0"/>
        <w:spacing w:beforeAutospacing="0" w:afterAutospacing="0" w:line="576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五、旱情</w:t>
      </w:r>
    </w:p>
    <w:p w14:paraId="56FC0EA3">
      <w:pPr>
        <w:pStyle w:val="5"/>
        <w:adjustRightInd w:val="0"/>
        <w:snapToGrid w:val="0"/>
        <w:spacing w:beforeAutospacing="0" w:afterAutospacing="0" w:line="57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干旱的表现形式和发生、发展过程，包括干旱历时、影响范围、发展趋势和作物受旱程度等。</w:t>
      </w:r>
    </w:p>
    <w:p w14:paraId="7F00DDC6">
      <w:pPr>
        <w:pStyle w:val="9"/>
        <w:adjustRightInd w:val="0"/>
        <w:snapToGrid w:val="0"/>
        <w:spacing w:line="576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六、旱灾</w:t>
      </w:r>
    </w:p>
    <w:p w14:paraId="09F1D5ED">
      <w:pPr>
        <w:pStyle w:val="9"/>
        <w:adjustRightInd w:val="0"/>
        <w:snapToGrid w:val="0"/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因降水少，河流及其他水资源短缺，对工农业生产、城乡居民生活供水造成直接影响的旱情，以及旱情发生后给农业生产造成的损失。</w:t>
      </w:r>
    </w:p>
    <w:p w14:paraId="7CF5D7A9">
      <w:pPr>
        <w:pStyle w:val="9"/>
        <w:adjustRightInd w:val="0"/>
        <w:snapToGrid w:val="0"/>
        <w:spacing w:line="576" w:lineRule="exact"/>
        <w:ind w:firstLine="616" w:firstLineChars="200"/>
        <w:rPr>
          <w:rFonts w:ascii="Times New Roman" w:hAnsi="Times New Roman" w:eastAsia="黑体" w:cs="Times New Roman"/>
          <w:spacing w:val="-6"/>
          <w:sz w:val="32"/>
          <w:szCs w:val="32"/>
        </w:rPr>
      </w:pPr>
      <w:r>
        <w:rPr>
          <w:rFonts w:ascii="Times New Roman" w:hAnsi="Times New Roman" w:eastAsia="黑体" w:cs="Times New Roman"/>
          <w:spacing w:val="-6"/>
          <w:sz w:val="32"/>
          <w:szCs w:val="32"/>
        </w:rPr>
        <w:t>七、受旱面积比例</w:t>
      </w:r>
    </w:p>
    <w:p w14:paraId="26F81A36">
      <w:pPr>
        <w:pStyle w:val="9"/>
        <w:adjustRightInd w:val="0"/>
        <w:snapToGrid w:val="0"/>
        <w:spacing w:line="576" w:lineRule="exact"/>
        <w:ind w:firstLine="616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指农作物受旱面积与农作物播种面积之比。</w:t>
      </w:r>
    </w:p>
    <w:p w14:paraId="23C4E794">
      <w:pPr>
        <w:pStyle w:val="5"/>
        <w:adjustRightInd w:val="0"/>
        <w:snapToGrid w:val="0"/>
        <w:spacing w:beforeAutospacing="0" w:afterAutospacing="0" w:line="576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八、生命线工程</w:t>
      </w:r>
    </w:p>
    <w:p w14:paraId="35426376">
      <w:pPr>
        <w:pStyle w:val="5"/>
        <w:adjustRightInd w:val="0"/>
        <w:snapToGrid w:val="0"/>
        <w:spacing w:beforeAutospacing="0" w:afterAutospacing="0" w:line="576" w:lineRule="exact"/>
        <w:ind w:firstLine="616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pacing w:val="-6"/>
          <w:kern w:val="2"/>
          <w:sz w:val="32"/>
          <w:szCs w:val="32"/>
        </w:rPr>
        <w:t>根据《破坏性地震应急条例》，生命线工程是指对社会生活、生产有重大影响的交通、通信、供水、排水、供电、供气、输油等工程系统。</w:t>
      </w:r>
    </w:p>
    <w:p w14:paraId="705E1F79">
      <w:pPr>
        <w:pStyle w:val="5"/>
        <w:adjustRightInd w:val="0"/>
        <w:snapToGrid w:val="0"/>
        <w:spacing w:beforeAutospacing="0" w:afterAutospacing="0" w:line="576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九、紧急防汛期</w:t>
      </w:r>
    </w:p>
    <w:p w14:paraId="1D33C28E">
      <w:pPr>
        <w:pStyle w:val="5"/>
        <w:adjustRightInd w:val="0"/>
        <w:snapToGrid w:val="0"/>
        <w:spacing w:beforeAutospacing="0" w:afterAutospacing="0" w:line="576" w:lineRule="exact"/>
        <w:ind w:firstLine="616" w:firstLineChars="200"/>
        <w:jc w:val="both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0" w:footer="1134" w:gutter="0"/>
          <w:pgNumType w:fmt="numberInDash"/>
          <w:cols w:space="0" w:num="1"/>
          <w:docGrid w:type="lines" w:linePitch="447" w:charSpace="0"/>
        </w:sectPr>
      </w:pPr>
      <w:r>
        <w:rPr>
          <w:rFonts w:ascii="Times New Roman" w:hAnsi="Times New Roman" w:eastAsia="仿宋_GB2312"/>
          <w:spacing w:val="-6"/>
          <w:kern w:val="2"/>
          <w:sz w:val="32"/>
          <w:szCs w:val="32"/>
        </w:rPr>
        <w:t>根据《中华人民共和国防洪法》规定，当河流、湖泊的水情接近保证水位或者安全流量，水库水位接近设计洪水位，或者防洪工程设施发生重大险情时，有关县级以上政府防汛指挥机构可以宣布进入紧急防汛期。在紧急防汛期，国家防汛指挥机构或者其授权的流域以及县（市、区）防汛指挥机构有权对壅水、阻水严重的桥梁、引道、码头和其他跨河工程设施作出紧急处置。防汛指挥机构根据防汛抗洪的需要，有权在其管辖范围内调用物资、设备、交通运输工具和人力，决定采取取土占地、砍伐林木、清除阻水障碍物和其他必要的紧急措施。必要时公安、交通等有关部门按照防汛指挥机构的决定，依法实施陆地和水面交通管制。</w:t>
      </w:r>
      <w:bookmarkStart w:id="0" w:name="_GoBack"/>
      <w:bookmarkEnd w:id="0"/>
    </w:p>
    <w:p w14:paraId="61824EBB">
      <w:pPr>
        <w:pStyle w:val="10"/>
        <w:keepLines w:val="0"/>
        <w:adjustRightInd w:val="0"/>
        <w:snapToGrid w:val="0"/>
        <w:spacing w:line="576" w:lineRule="exact"/>
        <w:ind w:firstLine="0" w:firstLineChars="0"/>
        <w:jc w:val="left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08DFE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-273050</wp:posOffset>
              </wp:positionV>
              <wp:extent cx="962025" cy="236855"/>
              <wp:effectExtent l="0" t="0" r="0" b="0"/>
              <wp:wrapNone/>
              <wp:docPr id="7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E39897">
                          <w:pPr>
                            <w:pStyle w:val="3"/>
                            <w:jc w:val="center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-21.5pt;height:18.65pt;width:75.75pt;mso-position-horizontal:outside;mso-position-horizontal-relative:margin;z-index:251660288;mso-width-relative:page;mso-height-relative:page;" filled="f" stroked="f" coordsize="21600,21600" o:gfxdata="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PQ3YtYAAAAHAQAADwAAAAAAAAABACAAAAAiAAAAZHJz&#10;L2Rvd25yZXYueG1sUEsBAhQAFAAAAAgAh07iQJ3mruo/AgAAcAQAAA4AAAAAAAAAAQAgAAAAJQ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0E39897">
                    <w:pPr>
                      <w:pStyle w:val="3"/>
                      <w:jc w:val="center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24510" cy="1828800"/>
              <wp:effectExtent l="0" t="0" r="0" b="0"/>
              <wp:wrapNone/>
              <wp:docPr id="156" name="文本框 1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D00C63D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41.3pt;mso-position-horizontal:center;mso-position-horizontal-relative:margin;z-index:251659264;mso-width-relative:page;mso-height-relative:page;" filled="f" stroked="f" coordsize="21600,21600" o:gfxdata="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2QKofRAAAABAEAAA8AAAAAAAAAAQAgAAAAIgAAAGRycy9kb3du&#10;cmV2LnhtbFBLAQIUABQAAAAIAIdO4kB4Vw7UzQEAAJ4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00C63D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BD447"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-273050</wp:posOffset>
              </wp:positionV>
              <wp:extent cx="969645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1E8103">
                          <w:pPr>
                            <w:pStyle w:val="3"/>
                            <w:jc w:val="center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- 64 -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21.5pt;height:144pt;width:76.35pt;mso-position-horizontal:outside;mso-position-horizontal-relative:margin;z-index:251661312;mso-width-relative:page;mso-height-relative:page;" filled="f" stroked="f" coordsize="21600,21600" o:gfxdata="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/A8A9tcAAAAIAQAADwAAAAAAAAABACAAAAAiAAAA&#10;ZHJzL2Rvd25yZXYueG1sUEsBAhQAFAAAAAgAh07iQIDGkCFBAgAAcAQAAA4AAAAAAAAAAQAgAAAA&#10;Jg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E8103">
                    <w:pPr>
                      <w:pStyle w:val="3"/>
                      <w:jc w:val="center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- 64 -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38FFCE3">
    <w:pPr>
      <w:pStyle w:val="3"/>
      <w:ind w:right="360"/>
    </w:pPr>
  </w:p>
  <w:p w14:paraId="62DCEFF2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7F7C6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YzAwYjliZjJiMWVkMTg0MTQ3ODkzNzdhMGM5MTQifQ=="/>
  </w:docVars>
  <w:rsids>
    <w:rsidRoot w:val="4A8F1CBE"/>
    <w:rsid w:val="01762172"/>
    <w:rsid w:val="12157C38"/>
    <w:rsid w:val="40524017"/>
    <w:rsid w:val="4A8F1CBE"/>
    <w:rsid w:val="5319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_Style 1"/>
    <w:basedOn w:val="1"/>
    <w:qFormat/>
    <w:uiPriority w:val="0"/>
  </w:style>
  <w:style w:type="paragraph" w:customStyle="1" w:styleId="10">
    <w:name w:val="样式 标题 1 + 仿宋_GB2312 三号 行距: 1.5 倍行距"/>
    <w:basedOn w:val="2"/>
    <w:qFormat/>
    <w:uiPriority w:val="0"/>
    <w:pPr>
      <w:keepNext w:val="0"/>
      <w:spacing w:line="360" w:lineRule="auto"/>
      <w:ind w:firstLine="200" w:firstLineChars="200"/>
      <w:jc w:val="center"/>
    </w:pPr>
    <w:rPr>
      <w:rFonts w:ascii="仿宋_GB2312" w:eastAsia="黑体"/>
      <w:b w:val="0"/>
      <w:sz w:val="30"/>
    </w:rPr>
  </w:style>
  <w:style w:type="paragraph" w:customStyle="1" w:styleId="11">
    <w:name w:val="正文首行缩进 21"/>
    <w:basedOn w:val="12"/>
    <w:next w:val="5"/>
    <w:qFormat/>
    <w:uiPriority w:val="0"/>
    <w:pPr>
      <w:widowControl/>
      <w:spacing w:beforeAutospacing="1" w:afterAutospacing="1"/>
      <w:ind w:firstLine="200" w:firstLineChars="200"/>
      <w:jc w:val="left"/>
    </w:pPr>
    <w:rPr>
      <w:rFonts w:eastAsia="仿宋_GB2312"/>
      <w:kern w:val="0"/>
      <w:sz w:val="24"/>
    </w:rPr>
  </w:style>
  <w:style w:type="paragraph" w:customStyle="1" w:styleId="12">
    <w:name w:val="正文文本缩进1"/>
    <w:basedOn w:val="1"/>
    <w:qFormat/>
    <w:uiPriority w:val="0"/>
    <w:pPr>
      <w:ind w:left="200" w:left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2024-09-03T01:49:00Z</dcterms:created>
  <dc:creator>11:大梦</dc:creator>
  <cp:lastModifiedBy>11:大梦</cp:lastModifiedBy>
  <dcterms:modified xsi:type="dcterms:W3CDTF">2024-09-04T01:47:34Z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42596027FB4C41ADBDD2E1226A474969_13</vt:lpwstr>
  </property>
</Properties>
</file>