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rPr>
        <w:t>附</w:t>
      </w:r>
      <w:r>
        <w:rPr>
          <w:rFonts w:hint="eastAsia" w:ascii="黑体" w:hAnsi="黑体" w:eastAsia="黑体" w:cs="黑体"/>
          <w:b w:val="0"/>
          <w:bCs/>
          <w:sz w:val="32"/>
          <w:szCs w:val="32"/>
          <w:lang w:eastAsia="zh-CN"/>
        </w:rPr>
        <w:t>件</w:t>
      </w:r>
      <w:r>
        <w:rPr>
          <w:rFonts w:hint="eastAsia" w:ascii="黑体" w:hAnsi="黑体" w:eastAsia="黑体" w:cs="黑体"/>
          <w:b w:val="0"/>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方正小标宋简体" w:hAnsi="方正小标宋简体" w:eastAsia="方正小标宋简体" w:cs="方正小标宋简体"/>
          <w:b w:val="0"/>
          <w:bCs/>
          <w:sz w:val="44"/>
          <w:szCs w:val="44"/>
        </w:rPr>
        <w:t>代县较大特种设备事故应急指挥部组成及职责</w:t>
      </w:r>
    </w:p>
    <w:tbl>
      <w:tblPr>
        <w:tblStyle w:val="4"/>
        <w:tblpPr w:leftFromText="180" w:rightFromText="180" w:vertAnchor="text" w:horzAnchor="page" w:tblpX="1459"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部  门</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县指挥部</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贯彻落实省委、省政府、市委、市政府及县委、县政府关于特种设备安全工作的决策部署，统筹协调全县特种设备事故防范和隐患排查治理工作，制定特种设备安全总体规划、重要措施，组织指挥特种设备事故应对工作，指导协调特种设备事故调查评估和善后处理工作，落实县委、县政府及县应急救援总指挥部交办的特种设备事故应急处置的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县指挥部办公室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（县市场监管局）</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担县指挥部日常工作，制定、修订特种设备事故专项应急预案，组织特种设备事故防范和隐患排查治理工作，开展桌面推演、实兵演练等应对特种设备事故专项训练，协调各方面力量参加特种设备事故救援行动，协助县委、县政府指定的负责同志组织特种设备事故应急处置工作，配合做好特种设备事故调查评估和善后处置工作，报告和发布特种设备事故信息，根据市级指挥部指导做，好特种设备事故应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县委宣传部</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根据县指挥部的统一部署，组织协调新闻媒体开展应急新闻报道，积极引导舆论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县发展改革</w:t>
            </w:r>
            <w:r>
              <w:rPr>
                <w:rFonts w:hint="eastAsia" w:ascii="宋体" w:hAnsi="宋体" w:eastAsia="宋体" w:cs="宋体"/>
                <w:sz w:val="24"/>
                <w:szCs w:val="24"/>
                <w:lang w:eastAsia="zh-CN"/>
              </w:rPr>
              <w:t>局</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负责协调县粮食和储备局落实县级重要物资和应急储备物资动用计划和指令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县教育</w:t>
            </w:r>
            <w:r>
              <w:rPr>
                <w:rFonts w:hint="eastAsia" w:ascii="宋体" w:hAnsi="宋体" w:eastAsia="宋体" w:cs="宋体"/>
                <w:sz w:val="24"/>
                <w:szCs w:val="24"/>
                <w:lang w:eastAsia="zh-CN"/>
              </w:rPr>
              <w:t>科技</w:t>
            </w:r>
            <w:r>
              <w:rPr>
                <w:rFonts w:hint="eastAsia" w:ascii="宋体" w:hAnsi="宋体" w:eastAsia="宋体" w:cs="宋体"/>
                <w:sz w:val="24"/>
                <w:szCs w:val="24"/>
              </w:rPr>
              <w:t>局</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负责发生在学校内的特种设备事故的应急处置工作，协调做好学校师生的疏散、避险工作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县公安局</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处置工作中的治安维护。接到事故报警后，要迅速派出警力赶赴现场，设立警戒区，维护治安和交通秩序；加强对重点部位、重点目标和救灾物资的守护，防范和打击趁火打劫、制造事端等违法犯罪活动，保障社会秩序；协助指挥部调度交警警力，负责必要时事发区域的交通管制和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市</w:t>
            </w:r>
            <w:r>
              <w:rPr>
                <w:rFonts w:hint="eastAsia" w:ascii="宋体" w:hAnsi="宋体" w:eastAsia="宋体" w:cs="宋体"/>
                <w:sz w:val="24"/>
                <w:szCs w:val="24"/>
              </w:rPr>
              <w:t>生态环境局</w:t>
            </w:r>
            <w:r>
              <w:rPr>
                <w:rFonts w:hint="eastAsia" w:ascii="宋体" w:hAnsi="宋体" w:eastAsia="宋体" w:cs="宋体"/>
                <w:sz w:val="24"/>
                <w:szCs w:val="24"/>
                <w:lang w:eastAsia="zh-CN"/>
              </w:rPr>
              <w:t>代县分局</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负责特种设备事故引发的环境污染的环境监测工作，指导事发地人民政府快速妥善处置次生环境污染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县住建局</w:t>
            </w:r>
          </w:p>
        </w:tc>
        <w:tc>
          <w:tcPr>
            <w:tcW w:w="1137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负责房屋建筑和市政工程工地建筑起重机械等特种设备使用安全和事故应急处置工作</w:t>
            </w:r>
          </w:p>
        </w:tc>
      </w:tr>
    </w:tbl>
    <w:p/>
    <w:p>
      <w:pPr>
        <w:ind w:firstLine="359" w:firstLineChars="0"/>
        <w:jc w:val="left"/>
        <w:rPr>
          <w:rFonts w:eastAsia="宋体"/>
          <w:kern w:val="2"/>
          <w:sz w:val="21"/>
          <w:szCs w:val="24"/>
          <w:lang w:val="en-US" w:eastAsia="zh-CN" w:bidi="ar-SA"/>
        </w:rPr>
      </w:pPr>
    </w:p>
    <w:tbl>
      <w:tblPr>
        <w:tblStyle w:val="4"/>
        <w:tblpPr w:leftFromText="180" w:rightFromText="180" w:vertAnchor="text" w:horzAnchor="page" w:tblpX="1593"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rPr>
              <w:t>部  门</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县交通</w:t>
            </w:r>
            <w:r>
              <w:rPr>
                <w:rFonts w:hint="eastAsia" w:ascii="宋体" w:hAnsi="宋体" w:eastAsia="宋体" w:cs="宋体"/>
                <w:sz w:val="24"/>
                <w:szCs w:val="24"/>
                <w:lang w:eastAsia="zh-CN"/>
              </w:rPr>
              <w:t>运输</w:t>
            </w:r>
            <w:r>
              <w:rPr>
                <w:rFonts w:hint="eastAsia" w:ascii="宋体" w:hAnsi="宋体" w:eastAsia="宋体" w:cs="宋体"/>
                <w:sz w:val="24"/>
                <w:szCs w:val="24"/>
              </w:rPr>
              <w:t>局</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负责保障相关道路的畅通及相关道路设施的损坏修复，并做好事故发生后的运力组织，保障人员、物资的运输工作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县文旅局</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配合相关主管部门做好A级旅游景区、文化娱乐场所和公共文化场馆发生特种设备事故的应急处置工作，协助做好游客、群众的安抚工作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县</w:t>
            </w:r>
            <w:r>
              <w:rPr>
                <w:rFonts w:hint="eastAsia" w:ascii="宋体" w:hAnsi="宋体" w:eastAsia="宋体" w:cs="宋体"/>
                <w:sz w:val="24"/>
                <w:szCs w:val="24"/>
                <w:lang w:eastAsia="zh-CN"/>
              </w:rPr>
              <w:t>卫生健康和体育局</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组织协调开展特种设备事故伤员医疗救治和相关卫生学处理，指导个人防护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县应急局</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负责指导、协助重大及以上特种设备事故应急处置工作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县气象局</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根据县指挥部的要求，及时提供事故现场气象要素的实时监测数据和周边区域的天气预报、预警信息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w w:val="95"/>
                <w:sz w:val="24"/>
                <w:szCs w:val="24"/>
              </w:rPr>
            </w:pPr>
            <w:r>
              <w:rPr>
                <w:rFonts w:hint="eastAsia" w:ascii="宋体" w:hAnsi="宋体" w:eastAsia="宋体" w:cs="宋体"/>
                <w:w w:val="95"/>
                <w:sz w:val="24"/>
                <w:szCs w:val="24"/>
              </w:rPr>
              <w:t>中国移动代县分公司中国联通代县分公司中国电信代县分公司</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负责做好应急通信保障工作，保障指挥通信畅通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县消防救援</w:t>
            </w:r>
            <w:r>
              <w:rPr>
                <w:rFonts w:hint="eastAsia" w:ascii="宋体" w:hAnsi="宋体" w:cs="宋体"/>
                <w:sz w:val="24"/>
                <w:szCs w:val="24"/>
                <w:lang w:eastAsia="zh-CN"/>
              </w:rPr>
              <w:t>大</w:t>
            </w:r>
            <w:r>
              <w:rPr>
                <w:rFonts w:hint="eastAsia" w:ascii="宋体" w:hAnsi="宋体" w:eastAsia="宋体" w:cs="宋体"/>
                <w:sz w:val="24"/>
                <w:szCs w:val="24"/>
              </w:rPr>
              <w:t>队</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负责事故发生时的灭火和抢险救援工作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国网供电代县分公司</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负责发生特种设备事故区域电力供应、切断的协调处置工作，提供事故涉及电力方面的技术指导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事发地</w:t>
            </w:r>
            <w:r>
              <w:rPr>
                <w:rFonts w:hint="eastAsia" w:ascii="宋体" w:hAnsi="宋体" w:cs="宋体"/>
                <w:sz w:val="24"/>
                <w:szCs w:val="24"/>
                <w:lang w:eastAsia="zh-CN"/>
              </w:rPr>
              <w:t>乡镇</w:t>
            </w:r>
          </w:p>
        </w:tc>
        <w:tc>
          <w:tcPr>
            <w:tcW w:w="113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负责协助县指挥部做好本行政区域内特种设备事故的应急处置、救援、后勤保障、安抚、善后等工作</w:t>
            </w:r>
          </w:p>
        </w:tc>
      </w:tr>
    </w:tbl>
    <w:p>
      <w:pPr>
        <w:rPr>
          <w:rFonts w:hint="eastAsia" w:ascii="仿宋" w:hAnsi="仿宋" w:eastAsia="仿宋"/>
          <w:sz w:val="32"/>
          <w:szCs w:val="32"/>
        </w:rPr>
        <w:sectPr>
          <w:pgSz w:w="16838" w:h="11906" w:orient="landscape"/>
          <w:pgMar w:top="1576" w:right="1327" w:bottom="1349" w:left="1440" w:header="851" w:footer="992" w:gutter="0"/>
          <w:pgNumType w:fmt="numberInDash"/>
          <w:cols w:space="720" w:num="1"/>
          <w:titlePg/>
          <w:docGrid w:type="lines" w:linePitch="312" w:charSpace="0"/>
        </w:sectPr>
      </w:pPr>
      <w:bookmarkStart w:id="0" w:name="_GoBack"/>
      <w:bookmarkEnd w:id="0"/>
    </w:p>
    <w:p>
      <w:pPr>
        <w:pageBreakBefore w:val="0"/>
        <w:widowControl w:val="0"/>
        <w:kinsoku/>
        <w:wordWrap/>
        <w:overflowPunct/>
        <w:topLinePunct w:val="0"/>
        <w:autoSpaceDE/>
        <w:autoSpaceDN/>
        <w:bidi w:val="0"/>
        <w:adjustRightInd/>
        <w:snapToGrid/>
        <w:spacing w:line="578" w:lineRule="exact"/>
        <w:textAlignment w:val="auto"/>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78105</wp:posOffset>
              </wp:positionV>
              <wp:extent cx="901065" cy="38290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01065" cy="382905"/>
                      </a:xfrm>
                      <a:prstGeom prst="rect">
                        <a:avLst/>
                      </a:prstGeom>
                      <a:noFill/>
                      <a:ln>
                        <a:noFill/>
                      </a:ln>
                    </wps:spPr>
                    <wps:txbx>
                      <w:txbxContent>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6.15pt;height:30.15pt;width:70.95pt;mso-position-horizontal:outside;mso-position-horizontal-relative:margin;z-index:251659264;mso-width-relative:page;mso-height-relative:page;" filled="f" stroked="f" coordsize="21600,21600" o:gfxdata="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ejHU9YAAAAGAQAADwAAAAAAAAABACAAAAAiAAAAZHJzL2Rvd25yZXYueG1sUEsBAhQA&#10;FAAAAAgAh07iQLkjhlS7AQAAcwMAAA4AAAAAAAAAAQAgAAAAJQEAAGRycy9lMm9Eb2MueG1sUEsF&#10;BgAAAAAGAAYAWQEAAFIFAAAAAA==&#10;">
              <v:fill on="f" focussize="0,0"/>
              <v:stroke on="f"/>
              <v:imagedata o:title=""/>
              <o:lock v:ext="edit" aspectratio="f"/>
              <v:textbox inset="0mm,0mm,0mm,0mm">
                <w:txbxContent>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p>
    <w:pPr>
      <w:pStyle w:val="3"/>
      <w:tabs>
        <w:tab w:val="left" w:pos="420"/>
        <w:tab w:val="left" w:pos="840"/>
        <w:tab w:val="left" w:pos="1260"/>
        <w:tab w:val="left" w:pos="1680"/>
        <w:tab w:val="left" w:pos="2100"/>
        <w:tab w:val="left" w:pos="2520"/>
        <w:tab w:val="left" w:pos="2940"/>
        <w:tab w:val="left" w:pos="3360"/>
        <w:tab w:val="left" w:pos="3600"/>
        <w:tab w:val="left" w:pos="3780"/>
        <w:tab w:val="left" w:pos="3825"/>
        <w:tab w:val="left" w:pos="4680"/>
        <w:tab w:val="left" w:pos="5460"/>
        <w:tab w:val="left" w:pos="5880"/>
        <w:tab w:val="left" w:pos="6300"/>
        <w:tab w:val="left" w:pos="6720"/>
        <w:tab w:val="left" w:pos="7365"/>
        <w:tab w:val="clear" w:pos="4153"/>
        <w:tab w:val="clear" w:pos="8306"/>
      </w:tabs>
      <w:ind w:right="360"/>
      <w:rPr>
        <w:rFonts w:hint="eastAsia"/>
      </w:rPr>
    </w:pPr>
    <w:r>
      <w:tab/>
    </w:r>
    <w:r>
      <w:tab/>
    </w:r>
    <w:r>
      <w:tab/>
    </w:r>
    <w:r>
      <w:tab/>
    </w:r>
    <w:r>
      <w:tab/>
    </w:r>
    <w:r>
      <w:tab/>
    </w:r>
    <w:r>
      <w:tab/>
    </w:r>
    <w:r>
      <w:tab/>
    </w:r>
    <w:r>
      <w:tab/>
    </w:r>
    <w:r>
      <w:tab/>
    </w:r>
    <w:r>
      <w:tab/>
    </w:r>
    <w:r>
      <w:tab/>
    </w:r>
    <w:r>
      <w:tab/>
    </w: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590662C5"/>
    <w:rsid w:val="22EC5858"/>
    <w:rsid w:val="590662C5"/>
    <w:rsid w:val="7377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仿宋"/>
      <w:sz w:val="32"/>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2024-05-20T08:32:00Z</dcterms:created>
  <dc:creator>11:大梦</dc:creator>
  <cp:lastModifiedBy>11:大梦</cp:lastModifiedBy>
  <dcterms:modified xsi:type="dcterms:W3CDTF">2024-05-20T08:50:03Z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4149488D2F7D4921ABDCBC983AB49AEE_13</vt:lpwstr>
  </property>
</Properties>
</file>