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lang w:val="en-US" w:eastAsia="zh-CN"/>
        </w:rPr>
        <w:t>代县基本养老服务清单</w:t>
      </w:r>
    </w:p>
    <w:tbl>
      <w:tblPr>
        <w:tblStyle w:val="5"/>
        <w:tblW w:w="15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508"/>
        <w:gridCol w:w="1271"/>
        <w:gridCol w:w="3716"/>
        <w:gridCol w:w="4845"/>
        <w:gridCol w:w="136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85"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79" w:type="dxa"/>
            <w:gridSpan w:val="2"/>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716" w:type="dxa"/>
            <w:vAlign w:val="center"/>
          </w:tcPr>
          <w:p>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服务内容</w:t>
            </w:r>
          </w:p>
        </w:tc>
        <w:tc>
          <w:tcPr>
            <w:tcW w:w="4845" w:type="dxa"/>
            <w:vAlign w:val="center"/>
          </w:tcPr>
          <w:p>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服务标准</w:t>
            </w:r>
          </w:p>
        </w:tc>
        <w:tc>
          <w:tcPr>
            <w:tcW w:w="1365" w:type="dxa"/>
            <w:vAlign w:val="center"/>
          </w:tcPr>
          <w:p>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服务类型</w:t>
            </w:r>
          </w:p>
        </w:tc>
        <w:tc>
          <w:tcPr>
            <w:tcW w:w="1755" w:type="dxa"/>
            <w:vAlign w:val="center"/>
          </w:tcPr>
          <w:p>
            <w:pPr>
              <w:spacing w:line="240" w:lineRule="auto"/>
              <w:jc w:val="center"/>
              <w:rPr>
                <w:rFonts w:hint="eastAsia" w:ascii="宋体" w:hAnsi="宋体" w:eastAsia="宋体" w:cs="宋体"/>
                <w:b/>
                <w:bCs/>
                <w:sz w:val="24"/>
                <w:szCs w:val="24"/>
                <w:lang w:val="en-US" w:eastAsia="zh-CN"/>
              </w:rPr>
            </w:pPr>
            <w:r>
              <w:rPr>
                <w:rFonts w:hint="eastAsia" w:ascii="黑体" w:hAnsi="黑体" w:eastAsia="黑体" w:cs="黑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restart"/>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达到待遇享受年龄的老年人</w:t>
            </w:r>
          </w:p>
        </w:tc>
        <w:tc>
          <w:tcPr>
            <w:tcW w:w="508" w:type="dxa"/>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71"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职工基本养老保险</w:t>
            </w:r>
          </w:p>
        </w:tc>
        <w:tc>
          <w:tcPr>
            <w:tcW w:w="3716"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为符合条件的参保职工发放基本养老金</w:t>
            </w:r>
          </w:p>
        </w:tc>
        <w:tc>
          <w:tcPr>
            <w:tcW w:w="4845"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参加职工基本养老保险达到法定退休年龄，缴费年限(含视同缴费年限)累计满15年且办理了退休手续的人员，可按月按标准领取到基本养老金</w:t>
            </w:r>
          </w:p>
        </w:tc>
        <w:tc>
          <w:tcPr>
            <w:tcW w:w="136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75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585" w:type="dxa"/>
            <w:vMerge w:val="continue"/>
            <w:vAlign w:val="center"/>
          </w:tcPr>
          <w:p>
            <w:pPr>
              <w:spacing w:line="240" w:lineRule="auto"/>
              <w:jc w:val="center"/>
              <w:rPr>
                <w:rFonts w:hint="eastAsia" w:ascii="仿宋" w:hAnsi="仿宋" w:eastAsia="仿宋" w:cs="仿宋"/>
                <w:sz w:val="24"/>
                <w:szCs w:val="24"/>
                <w:lang w:val="en-US" w:eastAsia="zh-CN"/>
              </w:rPr>
            </w:pPr>
          </w:p>
        </w:tc>
        <w:tc>
          <w:tcPr>
            <w:tcW w:w="508"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71"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城乡居民基本养老保险</w:t>
            </w:r>
          </w:p>
        </w:tc>
        <w:tc>
          <w:tcPr>
            <w:tcW w:w="3716"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为符合条件的参保城乡居民发放基本养老保险待遇</w:t>
            </w:r>
          </w:p>
        </w:tc>
        <w:tc>
          <w:tcPr>
            <w:tcW w:w="4845"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参加城乡居民基本养老保险年满60周岁、累计缴费满15年且未领取国家规定的基本养老保障待遇的人员，按月领取到城乡居民基本养老保险待遇</w:t>
            </w:r>
          </w:p>
        </w:tc>
        <w:tc>
          <w:tcPr>
            <w:tcW w:w="136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75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585" w:type="dxa"/>
            <w:vAlign w:val="center"/>
          </w:tcPr>
          <w:p>
            <w:pPr>
              <w:spacing w:line="240" w:lineRule="auto"/>
              <w:ind w:left="0" w:lef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60周岁及以上老年人</w:t>
            </w:r>
          </w:p>
        </w:tc>
        <w:tc>
          <w:tcPr>
            <w:tcW w:w="508"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71"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司法救助</w:t>
            </w:r>
          </w:p>
        </w:tc>
        <w:tc>
          <w:tcPr>
            <w:tcW w:w="3716"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老年人追索赡养费等，因被执行人没有履行能力，申请执行人陷入生活困难，符合司法救助条件的，应当优先、及时提供司法救助</w:t>
            </w:r>
          </w:p>
        </w:tc>
        <w:tc>
          <w:tcPr>
            <w:tcW w:w="4845" w:type="dxa"/>
            <w:vAlign w:val="center"/>
          </w:tcPr>
          <w:p>
            <w:pPr>
              <w:widowControl w:val="0"/>
              <w:wordWrap/>
              <w:adjustRightInd/>
              <w:snapToGrid/>
              <w:spacing w:line="24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免交诉讼费</w:t>
            </w:r>
          </w:p>
        </w:tc>
        <w:tc>
          <w:tcPr>
            <w:tcW w:w="136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75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8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60周岁及以上老年人</w:t>
            </w:r>
          </w:p>
        </w:tc>
        <w:tc>
          <w:tcPr>
            <w:tcW w:w="508"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71"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旅游服务</w:t>
            </w:r>
          </w:p>
        </w:tc>
        <w:tc>
          <w:tcPr>
            <w:tcW w:w="3716"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为60周岁以上老年人提供旅游优惠服务，老年人凭身份证等有效证件，直接免费或享受优惠服务</w:t>
            </w:r>
          </w:p>
        </w:tc>
        <w:tc>
          <w:tcPr>
            <w:tcW w:w="4845" w:type="dxa"/>
            <w:vAlign w:val="center"/>
          </w:tcPr>
          <w:p>
            <w:pPr>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周岁(含)以上进入本县国有及国有控股的旅游景区免头道门票，免费进入公园、公共图书馆、文化馆、博物馆、美术馆、科技馆、纪念馆、纪念性陵园等公共文化设施；60-65周岁(含60不含65)进入其他旅游景区享受头道门票半价优惠；65周岁(含)以上的老年人免费进入旅游景区</w:t>
            </w:r>
          </w:p>
        </w:tc>
        <w:tc>
          <w:tcPr>
            <w:tcW w:w="136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755" w:type="dxa"/>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县发展改革局</w:t>
            </w:r>
          </w:p>
        </w:tc>
      </w:tr>
    </w:tbl>
    <w:p>
      <w:pPr>
        <w:rPr>
          <w:rFonts w:hint="default"/>
          <w:lang w:val="en-US" w:eastAsia="zh-CN"/>
        </w:rPr>
      </w:pPr>
    </w:p>
    <w:p>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10"/>
        <w:gridCol w:w="1275"/>
        <w:gridCol w:w="3285"/>
        <w:gridCol w:w="4665"/>
        <w:gridCol w:w="14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00"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w:t>
            </w:r>
          </w:p>
        </w:tc>
        <w:tc>
          <w:tcPr>
            <w:tcW w:w="5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老年人能力综合评估</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为65周岁及以上老年人提供能力综合评估，做好老年人能力综合评估与健康状况评估的衔接</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65周岁及以上老年人自愿申请，县级民政部门按照国家标准免费进行能力综合评估</w:t>
            </w:r>
            <w:r>
              <w:rPr>
                <w:rFonts w:hint="eastAsia" w:ascii="仿宋" w:hAnsi="仿宋" w:eastAsia="仿宋" w:cs="仿宋"/>
                <w:sz w:val="24"/>
                <w:szCs w:val="24"/>
                <w:lang w:val="en-US" w:eastAsia="zh-CN"/>
              </w:rPr>
              <w:tab/>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县民政局</w:t>
            </w:r>
          </w:p>
          <w:p>
            <w:pPr>
              <w:jc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00" w:type="dxa"/>
            <w:vMerge w:val="continue"/>
            <w:vAlign w:val="center"/>
          </w:tcPr>
          <w:p>
            <w:pPr>
              <w:jc w:val="both"/>
              <w:rPr>
                <w:rFonts w:hint="eastAsia" w:ascii="仿宋" w:hAnsi="仿宋" w:eastAsia="仿宋" w:cs="仿宋"/>
                <w:sz w:val="24"/>
                <w:szCs w:val="24"/>
                <w:lang w:val="en-US" w:eastAsia="zh-CN"/>
              </w:rPr>
            </w:pPr>
          </w:p>
        </w:tc>
        <w:tc>
          <w:tcPr>
            <w:tcW w:w="5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健康管理</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为65周岁及以上老年人免费建立电子健康档案，进行健康指导，每年为65周岁及以上老年人免费提供包括体检在内的健康管理服务</w:t>
            </w:r>
            <w:r>
              <w:rPr>
                <w:rFonts w:hint="eastAsia" w:ascii="仿宋" w:hAnsi="仿宋" w:eastAsia="仿宋" w:cs="仿宋"/>
                <w:sz w:val="24"/>
                <w:szCs w:val="24"/>
                <w:lang w:val="en-US" w:eastAsia="zh-CN"/>
              </w:rPr>
              <w:tab/>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电子健康档案要完备包括个人基本信息、健康体检、健康状况评估等内容;每年免费提供健康管理服务1次，包括生活方式和健康状况评估、体格检查、辅助检查、健康指导</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县卫体局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200" w:type="dxa"/>
            <w:vMerge w:val="continue"/>
            <w:vAlign w:val="center"/>
          </w:tcPr>
          <w:p>
            <w:pPr>
              <w:jc w:val="both"/>
              <w:rPr>
                <w:rFonts w:hint="eastAsia" w:ascii="仿宋" w:hAnsi="仿宋" w:eastAsia="仿宋" w:cs="仿宋"/>
                <w:sz w:val="24"/>
                <w:szCs w:val="24"/>
                <w:lang w:val="en-US" w:eastAsia="zh-CN"/>
              </w:rPr>
            </w:pPr>
          </w:p>
        </w:tc>
        <w:tc>
          <w:tcPr>
            <w:tcW w:w="5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乘坐城市公共交通车辆</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65周岁及以上老年人乘坐城市公交车享受相关优惠服务</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65周岁及以上老年人免费乘坐县内公交车和城市轨道交通。</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200" w:type="dxa"/>
            <w:vMerge w:val="restart"/>
            <w:vAlign w:val="center"/>
          </w:tcPr>
          <w:p>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80周岁及以上老年人</w:t>
            </w:r>
          </w:p>
        </w:tc>
        <w:tc>
          <w:tcPr>
            <w:tcW w:w="510" w:type="dxa"/>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8</w:t>
            </w:r>
          </w:p>
        </w:tc>
        <w:tc>
          <w:tcPr>
            <w:tcW w:w="1275" w:type="dxa"/>
            <w:vMerge w:val="restart"/>
            <w:vAlign w:val="center"/>
          </w:tcPr>
          <w:p>
            <w:pPr>
              <w:jc w:val="both"/>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高龄津贴</w:t>
            </w:r>
          </w:p>
        </w:tc>
        <w:tc>
          <w:tcPr>
            <w:tcW w:w="3285" w:type="dxa"/>
            <w:vAlign w:val="center"/>
          </w:tcPr>
          <w:p>
            <w:pPr>
              <w:jc w:val="both"/>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为80周岁（含）至99周岁（含）的老年人发放高龄津贴</w:t>
            </w:r>
          </w:p>
        </w:tc>
        <w:tc>
          <w:tcPr>
            <w:tcW w:w="4665" w:type="dxa"/>
            <w:vAlign w:val="center"/>
          </w:tcPr>
          <w:p>
            <w:pPr>
              <w:jc w:val="both"/>
              <w:rPr>
                <w:rFonts w:hint="default" w:ascii="仿宋" w:hAnsi="仿宋" w:eastAsia="仿宋" w:cs="仿宋"/>
                <w:color w:val="FF0000"/>
                <w:kern w:val="2"/>
                <w:sz w:val="24"/>
                <w:szCs w:val="24"/>
                <w:lang w:val="en-US" w:eastAsia="zh-CN" w:bidi="ar-SA"/>
              </w:rPr>
            </w:pPr>
            <w:r>
              <w:rPr>
                <w:rFonts w:hint="eastAsia" w:ascii="仿宋" w:hAnsi="仿宋" w:eastAsia="仿宋" w:cs="仿宋"/>
                <w:color w:val="auto"/>
                <w:sz w:val="24"/>
                <w:szCs w:val="24"/>
                <w:lang w:val="en-US" w:eastAsia="zh-CN"/>
              </w:rPr>
              <w:t>根据《国家基本公共服务标准》及忻州市民政局、忻州市财政局忻民发</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2022</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68号文件规定执行</w:t>
            </w:r>
          </w:p>
        </w:tc>
        <w:tc>
          <w:tcPr>
            <w:tcW w:w="1410"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物质帮助</w:t>
            </w:r>
          </w:p>
        </w:tc>
        <w:tc>
          <w:tcPr>
            <w:tcW w:w="1823"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00" w:type="dxa"/>
            <w:vMerge w:val="continue"/>
            <w:vAlign w:val="center"/>
          </w:tcPr>
          <w:p>
            <w:pPr>
              <w:jc w:val="both"/>
              <w:rPr>
                <w:rFonts w:hint="eastAsia" w:ascii="仿宋" w:hAnsi="仿宋" w:eastAsia="仿宋" w:cs="仿宋"/>
                <w:color w:val="FF0000"/>
                <w:sz w:val="24"/>
                <w:szCs w:val="24"/>
                <w:lang w:val="en-US" w:eastAsia="zh-CN"/>
              </w:rPr>
            </w:pPr>
          </w:p>
        </w:tc>
        <w:tc>
          <w:tcPr>
            <w:tcW w:w="510" w:type="dxa"/>
            <w:vAlign w:val="center"/>
          </w:tcPr>
          <w:p>
            <w:pPr>
              <w:jc w:val="center"/>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9</w:t>
            </w:r>
          </w:p>
        </w:tc>
        <w:tc>
          <w:tcPr>
            <w:tcW w:w="1275" w:type="dxa"/>
            <w:vMerge w:val="continue"/>
            <w:vAlign w:val="center"/>
          </w:tcPr>
          <w:p>
            <w:pPr>
              <w:jc w:val="both"/>
              <w:rPr>
                <w:rFonts w:hint="eastAsia" w:ascii="仿宋" w:hAnsi="仿宋" w:eastAsia="仿宋" w:cs="仿宋"/>
                <w:color w:val="FF0000"/>
                <w:sz w:val="24"/>
                <w:szCs w:val="24"/>
                <w:lang w:val="en-US" w:eastAsia="zh-CN"/>
              </w:rPr>
            </w:pPr>
          </w:p>
        </w:tc>
        <w:tc>
          <w:tcPr>
            <w:tcW w:w="3285" w:type="dxa"/>
            <w:vAlign w:val="center"/>
          </w:tcPr>
          <w:p>
            <w:pPr>
              <w:jc w:val="both"/>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为100周岁及以上老年人发放百岁老人补贴</w:t>
            </w:r>
          </w:p>
        </w:tc>
        <w:tc>
          <w:tcPr>
            <w:tcW w:w="4665" w:type="dxa"/>
            <w:vAlign w:val="center"/>
          </w:tcPr>
          <w:p>
            <w:pPr>
              <w:jc w:val="both"/>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100周岁及以上老年人每人每月发放300元补贴</w:t>
            </w:r>
          </w:p>
        </w:tc>
        <w:tc>
          <w:tcPr>
            <w:tcW w:w="141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物质帮助</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00" w:type="dxa"/>
            <w:vAlign w:val="center"/>
          </w:tcPr>
          <w:p>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FF0000"/>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FF0000"/>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pPr>
              <w:widowControl w:val="0"/>
              <w:wordWrap/>
              <w:adjustRightInd/>
              <w:snapToGrid/>
              <w:spacing w:beforeLines="50" w:after="0" w:line="30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黑体" w:hAnsi="黑体" w:eastAsia="黑体" w:cs="黑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200"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经济困难老年人</w:t>
            </w:r>
            <w:r>
              <w:rPr>
                <w:rFonts w:hint="eastAsia" w:ascii="仿宋" w:hAnsi="仿宋" w:eastAsia="仿宋" w:cs="仿宋"/>
                <w:sz w:val="24"/>
                <w:szCs w:val="24"/>
                <w:lang w:val="en-US" w:eastAsia="zh-CN"/>
              </w:rPr>
              <w:tab/>
            </w:r>
          </w:p>
        </w:tc>
        <w:tc>
          <w:tcPr>
            <w:tcW w:w="510" w:type="dxa"/>
            <w:vAlign w:val="center"/>
          </w:tcPr>
          <w:p>
            <w:pPr>
              <w:rPr>
                <w:rFonts w:hint="default"/>
                <w:lang w:val="en-US" w:eastAsia="zh-CN"/>
              </w:rPr>
            </w:pPr>
            <w:r>
              <w:rPr>
                <w:rFonts w:hint="eastAsia"/>
                <w:lang w:val="en-US" w:eastAsia="zh-CN"/>
              </w:rPr>
              <w:t>10</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养老服务补贴</w:t>
            </w:r>
            <w:r>
              <w:rPr>
                <w:rFonts w:hint="eastAsia" w:ascii="仿宋" w:hAnsi="仿宋" w:eastAsia="仿宋" w:cs="仿宋"/>
                <w:sz w:val="24"/>
                <w:szCs w:val="24"/>
                <w:lang w:val="en-US" w:eastAsia="zh-CN"/>
              </w:rPr>
              <w:tab/>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为经济困难的老年人提供养老服务补贴</w:t>
            </w:r>
          </w:p>
        </w:tc>
        <w:tc>
          <w:tcPr>
            <w:tcW w:w="4665"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城乡低保家庭80周岁（含）至99周岁（含）的高龄老年人每人每月发放70元补贴</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00" w:type="dxa"/>
            <w:vMerge w:val="continue"/>
            <w:vAlign w:val="center"/>
          </w:tcPr>
          <w:p>
            <w:pPr>
              <w:jc w:val="center"/>
              <w:rPr>
                <w:rFonts w:hint="eastAsia" w:ascii="仿宋" w:hAnsi="仿宋" w:eastAsia="仿宋" w:cs="仿宋"/>
                <w:sz w:val="24"/>
                <w:szCs w:val="24"/>
                <w:lang w:val="en-US" w:eastAsia="zh-CN"/>
              </w:rPr>
            </w:pP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家庭适老化改造</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为经济困难的老年人家庭提供无障碍改造服务</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政府补贴，分年度实施居家适老化改造，提升居家养老生活品质</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200"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经认定生活不能自理的老年人</w:t>
            </w: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护理补贴</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为经认定生活不能自理的经济困难老年人提供护理补贴</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城乡低保家庭60周岁（含）至99周岁（含）的失能老年人每人每月发放100元护理补贴</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200" w:type="dxa"/>
            <w:vMerge w:val="continue"/>
            <w:vAlign w:val="top"/>
          </w:tcPr>
          <w:p>
            <w:pPr>
              <w:rPr>
                <w:rFonts w:hint="eastAsia" w:ascii="仿宋" w:hAnsi="仿宋" w:eastAsia="仿宋" w:cs="仿宋"/>
                <w:sz w:val="24"/>
                <w:szCs w:val="24"/>
                <w:lang w:val="en-US" w:eastAsia="zh-CN"/>
              </w:rPr>
            </w:pP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家庭养老支持服务</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符合条件的失能老年人家庭成员参加照护培训等相关职业技能培训的，按规定给予职业培训补贴</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按普惠制培训补助标准为1000元/人，订单式培训不超过4000元/人</w:t>
            </w:r>
            <w:r>
              <w:rPr>
                <w:rFonts w:hint="eastAsia" w:ascii="仿宋" w:hAnsi="仿宋" w:eastAsia="仿宋" w:cs="仿宋"/>
                <w:sz w:val="24"/>
                <w:szCs w:val="24"/>
                <w:lang w:val="en-US" w:eastAsia="zh-CN"/>
              </w:rPr>
              <w:tab/>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县人社局</w:t>
            </w: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10"/>
        <w:gridCol w:w="1275"/>
        <w:gridCol w:w="3285"/>
        <w:gridCol w:w="4665"/>
        <w:gridCol w:w="14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785" w:type="dxa"/>
            <w:gridSpan w:val="2"/>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285"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665"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2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纳入最低生活保障范围的老年人</w:t>
            </w: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最低生活保障</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对获得最低生活保障金后生活仍有困难的老年人，采取必要措施给予生活保障</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对符合条件的困难老年人综合运用发放临时救助金、实物和提供转介服务等多种救助方式，给予应急性、过渡性临时救助</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200" w:type="dxa"/>
            <w:vMerge w:val="restar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纳入特困人员救助供养范围的老年人</w:t>
            </w: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分散供养</w:t>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对选择在家供养的，经本人同意，乡镇、县党群服务中心可委托其亲友或村(居)委会、供养服务机构、社会组织、社会工作服务机构等提供日常看护、生活照料、住院陪护等服务</w:t>
            </w:r>
            <w:r>
              <w:rPr>
                <w:rFonts w:hint="eastAsia" w:ascii="仿宋" w:hAnsi="仿宋" w:eastAsia="仿宋" w:cs="仿宋"/>
                <w:sz w:val="24"/>
                <w:szCs w:val="24"/>
                <w:lang w:val="en-US" w:eastAsia="zh-CN"/>
              </w:rPr>
              <w:tab/>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不低于当地低保标准的1.3倍给与基本生活补助;全额资助参加城乡居民基本医疗保险的个人微费部分:对全自理，半护理，全护理分别按照不低于经济困难失能老年人护理补贴标准的1倍、2倍、3倍给与护理补贴；办理丧葬事宜；对符合规定标准的住房困难的分散供养特困人员，通过配租公共租赁住房、发放住房租赁补贴、农村危房改造等方式给予住房救助</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200" w:type="dxa"/>
            <w:vMerge w:val="continue"/>
            <w:vAlign w:val="center"/>
          </w:tcPr>
          <w:p>
            <w:pPr>
              <w:jc w:val="both"/>
              <w:rPr>
                <w:rFonts w:hint="eastAsia" w:ascii="仿宋" w:hAnsi="仿宋" w:eastAsia="仿宋" w:cs="仿宋"/>
                <w:sz w:val="24"/>
                <w:szCs w:val="24"/>
                <w:lang w:val="en-US" w:eastAsia="zh-CN"/>
              </w:rPr>
            </w:pPr>
          </w:p>
        </w:tc>
        <w:tc>
          <w:tcPr>
            <w:tcW w:w="51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27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集中供养</w:t>
            </w:r>
            <w:r>
              <w:rPr>
                <w:rFonts w:hint="eastAsia" w:ascii="仿宋" w:hAnsi="仿宋" w:eastAsia="仿宋" w:cs="仿宋"/>
                <w:sz w:val="24"/>
                <w:szCs w:val="24"/>
                <w:lang w:val="en-US" w:eastAsia="zh-CN"/>
              </w:rPr>
              <w:tab/>
            </w:r>
          </w:p>
        </w:tc>
        <w:tc>
          <w:tcPr>
            <w:tcW w:w="32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选择集中供养的，由县级民政部门按照便于管理的原则，就近安排到相应的供养服务机构，由供养服务机构统一照料和日常管理</w:t>
            </w:r>
          </w:p>
        </w:tc>
        <w:tc>
          <w:tcPr>
            <w:tcW w:w="466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有集中供养意愿的特困老年人全部实现集中供养</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pPr>
        <w:rPr>
          <w:rFonts w:hint="default"/>
          <w:lang w:val="en-US" w:eastAsia="zh-CN"/>
        </w:rPr>
      </w:pP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1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服务内容</w:t>
            </w:r>
          </w:p>
        </w:tc>
        <w:tc>
          <w:tcPr>
            <w:tcW w:w="4485"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服务标准</w:t>
            </w:r>
          </w:p>
        </w:tc>
        <w:tc>
          <w:tcPr>
            <w:tcW w:w="1410"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服务类型</w:t>
            </w:r>
          </w:p>
        </w:tc>
        <w:tc>
          <w:tcPr>
            <w:tcW w:w="182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特殊困难老年人</w:t>
            </w:r>
          </w:p>
        </w:tc>
        <w:tc>
          <w:tcPr>
            <w:tcW w:w="48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2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探访服务</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面向独居、空巢、留守、失能、重残、计划生育特殊家庭等老年人提供探访关爱服务</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对生活能够自理的特殊困难老年人，每月探访关爱不少于1次；对生活不能自理的特殊困难老年人应当适当增加探访次数，及时了解状况、提供帮助</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关爱服务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对国家和社会作出特殊贡献的老年人</w:t>
            </w:r>
          </w:p>
        </w:tc>
        <w:tc>
          <w:tcPr>
            <w:tcW w:w="48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2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集中供养</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年烈士遗属、因公牺牲军人遗属、病故军人遗属和进入老年的残疾军人，复员军人、退伍军人，无法定赡养人、扶养人或法定赡养人、扶养人无赡养，扶养能力且享受国家定期抚恤补助待遇的，提供集中供养、医疗等保障</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按时按要求提供集中供养、医疗等服务</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w:t>
            </w:r>
            <w:bookmarkStart w:id="0" w:name="_GoBack"/>
            <w:bookmarkEnd w:id="0"/>
            <w:r>
              <w:rPr>
                <w:rFonts w:hint="eastAsia" w:ascii="仿宋" w:hAnsi="仿宋" w:eastAsia="仿宋" w:cs="仿宋"/>
                <w:sz w:val="24"/>
                <w:szCs w:val="24"/>
                <w:lang w:val="en-US" w:eastAsia="zh-CN"/>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计划生育特殊家庭老年人</w:t>
            </w:r>
          </w:p>
        </w:tc>
        <w:tc>
          <w:tcPr>
            <w:tcW w:w="48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2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优先享受机构养老</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同等条件下优先入住政府投资兴办的养老机构</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计划生育特珠家庭老年人提出申请，县级民政部门优先办理入住</w:t>
            </w:r>
            <w:r>
              <w:rPr>
                <w:rFonts w:hint="eastAsia" w:ascii="仿宋" w:hAnsi="仿宋" w:eastAsia="仿宋" w:cs="仿宋"/>
                <w:sz w:val="24"/>
                <w:szCs w:val="24"/>
                <w:lang w:val="en-US" w:eastAsia="zh-CN"/>
              </w:rPr>
              <w:tab/>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照护服务</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经认定符合条件的残疾老年人</w:t>
            </w:r>
          </w:p>
        </w:tc>
        <w:tc>
          <w:tcPr>
            <w:tcW w:w="48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2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困难残疾人生活补贴和重度残疾人护理补贴</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按照相关规定为低保及低保边缘家庭的残疾老年人发放生活补贴，为一级、二级重度残疾老年人和三级、四级精神、智力残疾老年人发放护理补贴</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补贴标准按照相关规定动态调整</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生活无着的流浪、乞讨老年人</w:t>
            </w:r>
          </w:p>
        </w:tc>
        <w:tc>
          <w:tcPr>
            <w:tcW w:w="48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20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社会救助</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依照有关规定给予救助</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按照《生活无着的流浪乞讨人员救助管理机构工作规程》，为生活无着的流浪、乞讨老年人提供临时性救助服务</w:t>
            </w:r>
            <w:r>
              <w:rPr>
                <w:rFonts w:hint="eastAsia" w:ascii="仿宋" w:hAnsi="仿宋" w:eastAsia="仿宋" w:cs="仿宋"/>
                <w:sz w:val="24"/>
                <w:szCs w:val="24"/>
                <w:lang w:val="en-US" w:eastAsia="zh-CN"/>
              </w:rPr>
              <w:tab/>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tc>
      </w:tr>
    </w:tbl>
    <w:p>
      <w:r>
        <w:br w:type="page"/>
      </w: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1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服务内容</w:t>
            </w:r>
          </w:p>
        </w:tc>
        <w:tc>
          <w:tcPr>
            <w:tcW w:w="4485"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服务标准</w:t>
            </w:r>
          </w:p>
        </w:tc>
        <w:tc>
          <w:tcPr>
            <w:tcW w:w="1410"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服务类型</w:t>
            </w:r>
          </w:p>
        </w:tc>
        <w:tc>
          <w:tcPr>
            <w:tcW w:w="1823"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41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滨河社区内老年人</w:t>
            </w:r>
          </w:p>
        </w:tc>
        <w:tc>
          <w:tcPr>
            <w:tcW w:w="48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20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幸福养老工程</w:t>
            </w:r>
          </w:p>
        </w:tc>
        <w:tc>
          <w:tcPr>
            <w:tcW w:w="336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短期托养、日间照料、老人餐厅、健康管理、文化娱乐和上门服务等服务功能，充分关心、关爱、帮助老年人</w:t>
            </w:r>
          </w:p>
        </w:tc>
        <w:tc>
          <w:tcPr>
            <w:tcW w:w="4485"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服务实行全程化管理，对申请人进行详细登记，建立申请人员档案，与服务对象签订服务协议，提供相关养老服务。</w:t>
            </w:r>
          </w:p>
        </w:tc>
        <w:tc>
          <w:tcPr>
            <w:tcW w:w="141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1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各村60岁以上老年人村民</w:t>
            </w:r>
          </w:p>
        </w:tc>
        <w:tc>
          <w:tcPr>
            <w:tcW w:w="48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20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日间照料中心</w:t>
            </w:r>
          </w:p>
        </w:tc>
        <w:tc>
          <w:tcPr>
            <w:tcW w:w="336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白天入托接受照顾和参与活动，晚上回家享受家庭生活。</w:t>
            </w:r>
          </w:p>
        </w:tc>
        <w:tc>
          <w:tcPr>
            <w:tcW w:w="4485"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县财政按每所平均2万元的标准，保证运营经费。各种服务内容按低偿、无偿两种形式收费，具体标准由各村委会确定并在</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"https://baike.baidu.com/item/日间照料中心/53166430?fromModule=lemma_inlink"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日间照料中心</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公示。</w:t>
            </w:r>
          </w:p>
        </w:tc>
        <w:tc>
          <w:tcPr>
            <w:tcW w:w="141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41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社区60岁以上老年人居民</w:t>
            </w:r>
          </w:p>
        </w:tc>
        <w:tc>
          <w:tcPr>
            <w:tcW w:w="48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20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社区养老服务设施补短板</w:t>
            </w:r>
          </w:p>
        </w:tc>
        <w:tc>
          <w:tcPr>
            <w:tcW w:w="3360"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社区养老服务设施应与城镇居住区同步规划、同步建设、同步验收、同步交付使用。</w:t>
            </w:r>
          </w:p>
        </w:tc>
        <w:tc>
          <w:tcPr>
            <w:tcW w:w="4485" w:type="dxa"/>
            <w:vAlign w:val="center"/>
          </w:tcPr>
          <w:p>
            <w:pPr>
              <w:widowControl w:val="0"/>
              <w:wordWrap/>
              <w:adjustRightInd/>
              <w:snapToGrid/>
              <w:spacing w:before="0" w:after="0" w:line="240" w:lineRule="exact"/>
              <w:ind w:left="0" w:leftChars="0" w:right="0" w:firstLine="0" w:firstLineChars="0"/>
              <w:jc w:val="both"/>
              <w:textAlignment w:val="auto"/>
              <w:outlineLvl w:val="9"/>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打造“一刻钟养老服务圈”提升养老服务品质。</w:t>
            </w:r>
          </w:p>
        </w:tc>
        <w:tc>
          <w:tcPr>
            <w:tcW w:w="1410" w:type="dxa"/>
            <w:vAlign w:val="center"/>
          </w:tcPr>
          <w:p>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410" w:type="dxa"/>
            <w:vAlign w:val="center"/>
          </w:tcPr>
          <w:p>
            <w:pPr>
              <w:widowControl w:val="0"/>
              <w:wordWrap/>
              <w:adjustRightInd/>
              <w:snapToGrid/>
              <w:spacing w:before="0" w:after="0" w:line="240" w:lineRule="exact"/>
              <w:ind w:left="0" w:leftChars="0" w:right="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社区80岁以上高龄老人、低保家庭中的失能老人，70岁以上独居、失独、空巢老人等特殊群体</w:t>
            </w:r>
          </w:p>
        </w:tc>
        <w:tc>
          <w:tcPr>
            <w:tcW w:w="480"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200"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政府购买社区居家养老服务</w:t>
            </w:r>
          </w:p>
        </w:tc>
        <w:tc>
          <w:tcPr>
            <w:tcW w:w="3360" w:type="dxa"/>
            <w:vAlign w:val="center"/>
          </w:tcPr>
          <w:p>
            <w:pPr>
              <w:widowControl w:val="0"/>
              <w:wordWrap/>
              <w:adjustRightInd/>
              <w:snapToGrid/>
              <w:spacing w:before="0" w:after="0" w:line="26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将社区80岁以上高龄老人、低保家庭中的失能老人，70岁以上独居、失独、空巢老人等特殊群体纳入购买服务对象，按照每人每月不低于50元的标准安排购买服务经费，用于社区居家养老服务。</w:t>
            </w:r>
          </w:p>
        </w:tc>
        <w:tc>
          <w:tcPr>
            <w:tcW w:w="4485" w:type="dxa"/>
            <w:vAlign w:val="center"/>
          </w:tcPr>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资金由市县两级财政从养老预算支出中统筹安排。</w:t>
            </w:r>
          </w:p>
        </w:tc>
        <w:tc>
          <w:tcPr>
            <w:tcW w:w="141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照护服务</w:t>
            </w:r>
          </w:p>
        </w:tc>
        <w:tc>
          <w:tcPr>
            <w:tcW w:w="1823"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县民政局</w:t>
            </w:r>
          </w:p>
        </w:tc>
      </w:tr>
    </w:tbl>
    <w:p>
      <w:pPr>
        <w:widowControl w:val="0"/>
        <w:wordWrap/>
        <w:adjustRightInd/>
        <w:snapToGrid/>
        <w:spacing w:before="0" w:after="0" w:line="240" w:lineRule="exact"/>
        <w:ind w:left="0" w:leftChars="0" w:right="0" w:firstLine="0" w:firstLineChars="0"/>
        <w:jc w:val="both"/>
        <w:textAlignment w:val="auto"/>
        <w:outlineLvl w:val="9"/>
        <w:rPr>
          <w:rFonts w:hint="eastAsia"/>
          <w:lang w:val="en-US" w:eastAsia="zh-CN"/>
        </w:rPr>
      </w:pPr>
      <w:r>
        <w:rPr>
          <w:rFonts w:hint="eastAsia" w:ascii="仿宋" w:hAnsi="仿宋" w:eastAsia="仿宋" w:cs="仿宋"/>
          <w:sz w:val="24"/>
          <w:szCs w:val="24"/>
          <w:lang w:val="en-US" w:eastAsia="zh-CN"/>
        </w:rPr>
        <w:br w:type="page"/>
      </w:r>
    </w:p>
    <w:tbl>
      <w:tblPr>
        <w:tblStyle w:val="5"/>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80"/>
        <w:gridCol w:w="1200"/>
        <w:gridCol w:w="3360"/>
        <w:gridCol w:w="4485"/>
        <w:gridCol w:w="14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10" w:type="dxa"/>
            <w:vAlign w:val="center"/>
          </w:tcPr>
          <w:p>
            <w:pPr>
              <w:jc w:val="center"/>
              <w:rPr>
                <w:rFonts w:hint="eastAsia"/>
                <w:lang w:val="en-US" w:eastAsia="zh-CN"/>
              </w:rPr>
            </w:pPr>
            <w:r>
              <w:rPr>
                <w:rFonts w:hint="eastAsia" w:ascii="宋体" w:hAnsi="宋体" w:eastAsia="宋体" w:cs="宋体"/>
                <w:b/>
                <w:bCs/>
                <w:sz w:val="24"/>
                <w:szCs w:val="24"/>
                <w:lang w:val="en-US" w:eastAsia="zh-CN"/>
              </w:rPr>
              <w:t>对象</w:t>
            </w:r>
          </w:p>
        </w:tc>
        <w:tc>
          <w:tcPr>
            <w:tcW w:w="1680" w:type="dxa"/>
            <w:gridSpan w:val="2"/>
            <w:vAlign w:val="center"/>
          </w:tcPr>
          <w:p>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服务项目</w:t>
            </w:r>
          </w:p>
        </w:tc>
        <w:tc>
          <w:tcPr>
            <w:tcW w:w="3360" w:type="dxa"/>
            <w:vAlign w:val="center"/>
          </w:tcPr>
          <w:p>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服务内容</w:t>
            </w:r>
          </w:p>
        </w:tc>
        <w:tc>
          <w:tcPr>
            <w:tcW w:w="4485" w:type="dxa"/>
            <w:vAlign w:val="center"/>
          </w:tcPr>
          <w:p>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服务标准</w:t>
            </w:r>
          </w:p>
        </w:tc>
        <w:tc>
          <w:tcPr>
            <w:tcW w:w="1410" w:type="dxa"/>
            <w:vAlign w:val="center"/>
          </w:tcPr>
          <w:p>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服务类型</w:t>
            </w:r>
          </w:p>
        </w:tc>
        <w:tc>
          <w:tcPr>
            <w:tcW w:w="1823" w:type="dxa"/>
            <w:vAlign w:val="center"/>
          </w:tcPr>
          <w:p>
            <w:pPr>
              <w:jc w:val="center"/>
              <w:rPr>
                <w:rFonts w:hint="eastAsia" w:ascii="仿宋" w:hAnsi="仿宋" w:eastAsia="仿宋" w:cs="仿宋"/>
                <w:sz w:val="24"/>
                <w:szCs w:val="24"/>
                <w:lang w:val="en-US" w:eastAsia="zh-CN"/>
              </w:rPr>
            </w:pPr>
            <w:r>
              <w:rPr>
                <w:rFonts w:hint="eastAsia" w:ascii="宋体" w:hAnsi="宋体" w:eastAsia="宋体" w:cs="宋体"/>
                <w:b/>
                <w:bCs/>
                <w:sz w:val="24"/>
                <w:szCs w:val="24"/>
                <w:lang w:val="en-US" w:eastAsia="zh-CN"/>
              </w:rPr>
              <w:t>牵头落实部门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1410" w:type="dxa"/>
            <w:vAlign w:val="center"/>
          </w:tcPr>
          <w:p>
            <w:pPr>
              <w:widowControl w:val="0"/>
              <w:wordWrap/>
              <w:adjustRightInd/>
              <w:snapToGrid/>
              <w:spacing w:before="0" w:after="0" w:line="220" w:lineRule="exact"/>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养老服务从业人员一次性入职奖励</w:t>
            </w:r>
          </w:p>
        </w:tc>
        <w:tc>
          <w:tcPr>
            <w:tcW w:w="48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200" w:type="dxa"/>
            <w:vAlign w:val="center"/>
          </w:tcPr>
          <w:p>
            <w:pPr>
              <w:jc w:val="both"/>
              <w:rPr>
                <w:rFonts w:hint="eastAsia" w:ascii="仿宋" w:hAnsi="仿宋" w:eastAsia="仿宋" w:cs="仿宋"/>
                <w:spacing w:val="-20"/>
                <w:w w:val="90"/>
                <w:sz w:val="24"/>
                <w:szCs w:val="24"/>
                <w:lang w:val="en-US" w:eastAsia="zh-CN"/>
              </w:rPr>
            </w:pPr>
            <w:r>
              <w:rPr>
                <w:rFonts w:hint="eastAsia" w:ascii="仿宋" w:hAnsi="仿宋" w:eastAsia="仿宋" w:cs="仿宋"/>
                <w:spacing w:val="-20"/>
                <w:w w:val="90"/>
                <w:sz w:val="24"/>
                <w:szCs w:val="24"/>
                <w:lang w:val="en-US" w:eastAsia="zh-CN"/>
              </w:rPr>
              <w:t>在全县登记设立并备案的养老服务机构和社区养老服务机构中从事养老服务且具有中专及以上学历的工作人员。</w:t>
            </w:r>
          </w:p>
        </w:tc>
        <w:tc>
          <w:tcPr>
            <w:tcW w:w="3360"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养老服务入职奖补为一次性奖励，按照实际入职学历确定奖补标准。2023年7月1日后入职我县养老服务机构，签订3年及以上劳动合同，且工作满一年的具有</w:t>
            </w:r>
            <w:r>
              <w:rPr>
                <w:rFonts w:hint="default" w:ascii="仿宋" w:hAnsi="仿宋" w:eastAsia="仿宋" w:cs="仿宋"/>
                <w:sz w:val="24"/>
                <w:szCs w:val="24"/>
                <w:lang w:val="en-US" w:eastAsia="zh-CN"/>
              </w:rPr>
              <w:t>中等职业及以上学历一线从业人员</w:t>
            </w:r>
          </w:p>
        </w:tc>
        <w:tc>
          <w:tcPr>
            <w:tcW w:w="448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对于硕士研究生及以上学历、本科学历、大专学历、中专学历分别给予6万元、5万元、4万元、3万元的一次性入职奖励。入职奖励分三年发放到位。</w:t>
            </w:r>
          </w:p>
        </w:tc>
        <w:tc>
          <w:tcPr>
            <w:tcW w:w="141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物质帮助</w:t>
            </w:r>
          </w:p>
        </w:tc>
        <w:tc>
          <w:tcPr>
            <w:tcW w:w="182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县民政局</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县财政局</w:t>
            </w:r>
          </w:p>
        </w:tc>
      </w:tr>
    </w:tbl>
    <w:p>
      <w:pPr>
        <w:widowControl w:val="0"/>
        <w:wordWrap/>
        <w:adjustRightInd/>
        <w:snapToGrid/>
        <w:spacing w:before="0" w:after="0" w:line="500" w:lineRule="exact"/>
        <w:ind w:right="0"/>
        <w:jc w:val="both"/>
        <w:textAlignment w:val="auto"/>
        <w:outlineLvl w:val="9"/>
        <w:rPr>
          <w:rFonts w:hint="default"/>
          <w:lang w:val="en-US" w:eastAsia="zh-CN"/>
        </w:rPr>
      </w:pPr>
    </w:p>
    <w:sectPr>
      <w:headerReference r:id="rId3" w:type="default"/>
      <w:footerReference r:id="rId4" w:type="default"/>
      <w:pgSz w:w="16838" w:h="11906" w:orient="landscape"/>
      <w:pgMar w:top="1587" w:right="2098" w:bottom="1474" w:left="1984" w:header="851" w:footer="1417" w:gutter="0"/>
      <w:pgNumType w:fmt="numberInDash"/>
      <w:cols w:space="720"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00000000"/>
    <w:rsid w:val="5C8D44D8"/>
    <w:rsid w:val="69AD5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uiPriority w:val="0"/>
    <w:pPr>
      <w:jc w:val="center"/>
      <w:outlineLvl w:val="0"/>
    </w:pPr>
    <w:rPr>
      <w:rFonts w:ascii="Arial" w:hAnsi="Arial" w:eastAsia="宋体"/>
      <w:b/>
      <w:kern w:val="2"/>
      <w:sz w:val="4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UserStyle_0"/>
    <w:basedOn w:val="1"/>
    <w:link w:val="10"/>
    <w:uiPriority w:val="0"/>
    <w:pPr>
      <w:widowControl/>
      <w:spacing w:after="160" w:line="240" w:lineRule="exact"/>
      <w:jc w:val="left"/>
    </w:pPr>
  </w:style>
  <w:style w:type="paragraph" w:customStyle="1" w:styleId="8">
    <w:name w:val="Body Text Indent"/>
    <w:basedOn w:val="1"/>
    <w:autoRedefine/>
    <w:uiPriority w:val="0"/>
    <w:pPr>
      <w:spacing w:after="120"/>
      <w:ind w:left="420" w:leftChars="200"/>
    </w:pPr>
  </w:style>
  <w:style w:type="paragraph" w:customStyle="1" w:styleId="9">
    <w:name w:val="Body Text First Indent 2"/>
    <w:basedOn w:val="8"/>
    <w:next w:val="1"/>
    <w:autoRedefine/>
    <w:qFormat/>
    <w:uiPriority w:val="0"/>
    <w:pPr>
      <w:ind w:firstLine="420" w:firstLineChars="200"/>
    </w:pPr>
  </w:style>
  <w:style w:type="character" w:customStyle="1" w:styleId="10">
    <w:name w:val="NormalCharacter"/>
    <w:link w:val="7"/>
    <w:autoRedefine/>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3182</Words>
  <Characters>3259</Characters>
  <Lines>0</Lines>
  <Paragraphs>0</Paragraphs>
  <TotalTime>2</TotalTime>
  <ScaleCrop>false</ScaleCrop>
  <LinksUpToDate>false</LinksUpToDate>
  <CharactersWithSpaces>3268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2023-06-26T01:56:00Z</dcterms:created>
  <dc:creator>Administrator</dc:creator>
  <cp:lastModifiedBy>11:大梦</cp:lastModifiedBy>
  <cp:lastPrinted>2024-01-04T11:44:00Z</cp:lastPrinted>
  <dcterms:modified xsi:type="dcterms:W3CDTF">2024-07-09T01:40:15Z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B56D317F64EC4DE18F414FD940CEF183_13</vt:lpwstr>
  </property>
</Properties>
</file>