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640" w:type="dxa"/>
        <w:tblInd w:w="-8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4"/>
        <w:gridCol w:w="12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944" w:type="dxa"/>
            <w:tcBorders>
              <w:top w:val="nil"/>
              <w:left w:val="nil"/>
              <w:bottom w:val="nil"/>
              <w:right w:val="nil"/>
              <w:tl2br w:val="nil"/>
              <w:tr2bl w:val="nil"/>
            </w:tcBorders>
            <w:noWrap w:val="0"/>
            <w:vAlign w:val="top"/>
          </w:tcPr>
          <w:p>
            <w:pPr>
              <w:spacing w:beforeLines="0" w:afterLines="0"/>
              <w:jc w:val="left"/>
              <w:rPr>
                <w:rFonts w:hint="eastAsia" w:ascii="黑体" w:hAnsi="黑体" w:eastAsia="黑体"/>
                <w:color w:val="000000"/>
                <w:sz w:val="32"/>
                <w:szCs w:val="24"/>
              </w:rPr>
            </w:pPr>
            <w:r>
              <w:rPr>
                <w:rFonts w:hint="eastAsia" w:ascii="黑体" w:hAnsi="黑体" w:eastAsia="黑体"/>
                <w:color w:val="000000"/>
                <w:sz w:val="32"/>
                <w:szCs w:val="24"/>
              </w:rPr>
              <w:t>附件3</w:t>
            </w:r>
          </w:p>
        </w:tc>
        <w:tc>
          <w:tcPr>
            <w:tcW w:w="12696"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4640" w:type="dxa"/>
            <w:gridSpan w:val="2"/>
            <w:tcBorders>
              <w:top w:val="nil"/>
              <w:left w:val="nil"/>
              <w:bottom w:val="nil"/>
              <w:right w:val="nil"/>
              <w:tl2br w:val="nil"/>
              <w:tr2bl w:val="nil"/>
            </w:tcBorders>
            <w:noWrap w:val="0"/>
            <w:vAlign w:val="top"/>
          </w:tcPr>
          <w:p>
            <w:pPr>
              <w:spacing w:beforeLines="0" w:afterLines="0"/>
              <w:jc w:val="center"/>
              <w:rPr>
                <w:rFonts w:hint="eastAsia" w:ascii="宋体" w:hAnsi="宋体"/>
                <w:color w:val="000000"/>
                <w:sz w:val="22"/>
                <w:szCs w:val="24"/>
              </w:rPr>
            </w:pPr>
            <w:r>
              <w:rPr>
                <w:rFonts w:hint="eastAsia" w:ascii="方正小标宋简体" w:hAnsi="方正小标宋简体" w:eastAsia="方正小标宋简体" w:cs="方正小标宋简体"/>
                <w:color w:val="000000"/>
                <w:sz w:val="44"/>
                <w:szCs w:val="44"/>
              </w:rPr>
              <w:t>代县文化和旅游突发事件应急指挥部组成与职责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黑体" w:hAnsi="黑体" w:eastAsia="黑体" w:cs="黑体"/>
                <w:color w:val="000000"/>
                <w:sz w:val="32"/>
                <w:szCs w:val="32"/>
              </w:rPr>
            </w:pPr>
            <w:r>
              <w:rPr>
                <w:rFonts w:hint="eastAsia" w:ascii="黑体" w:hAnsi="黑体" w:eastAsia="黑体" w:cs="黑体"/>
                <w:color w:val="000000"/>
                <w:sz w:val="32"/>
                <w:szCs w:val="32"/>
              </w:rPr>
              <w:t>部门</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黑体" w:hAnsi="黑体" w:eastAsia="黑体" w:cs="黑体"/>
                <w:color w:val="000000"/>
                <w:sz w:val="32"/>
                <w:szCs w:val="32"/>
              </w:rPr>
            </w:pPr>
            <w:r>
              <w:rPr>
                <w:rFonts w:hint="eastAsia" w:ascii="黑体" w:hAnsi="黑体" w:eastAsia="黑体" w:cs="黑体"/>
                <w:color w:val="000000"/>
                <w:sz w:val="32"/>
                <w:szCs w:val="32"/>
              </w:rPr>
              <w:t>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9"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县指挥部</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(1)贯彻落实党中央、国务院</w:t>
            </w:r>
            <w:r>
              <w:rPr>
                <w:rFonts w:hint="eastAsia" w:ascii="宋体" w:hAnsi="宋体"/>
                <w:color w:val="000000"/>
                <w:sz w:val="22"/>
                <w:szCs w:val="24"/>
                <w:lang w:eastAsia="zh-CN"/>
              </w:rPr>
              <w:t>，</w:t>
            </w:r>
            <w:r>
              <w:rPr>
                <w:rFonts w:hint="eastAsia" w:ascii="宋体" w:hAnsi="宋体"/>
                <w:color w:val="000000"/>
                <w:sz w:val="22"/>
                <w:szCs w:val="24"/>
              </w:rPr>
              <w:t>省委、省政府</w:t>
            </w:r>
            <w:r>
              <w:rPr>
                <w:rFonts w:hint="eastAsia" w:ascii="宋体" w:hAnsi="宋体"/>
                <w:color w:val="000000"/>
                <w:sz w:val="22"/>
                <w:szCs w:val="24"/>
                <w:lang w:eastAsia="zh-CN"/>
              </w:rPr>
              <w:t>，</w:t>
            </w:r>
            <w:r>
              <w:rPr>
                <w:rFonts w:hint="eastAsia" w:ascii="宋体" w:hAnsi="宋体"/>
                <w:color w:val="000000"/>
                <w:sz w:val="22"/>
                <w:szCs w:val="24"/>
              </w:rPr>
              <w:t>市委、市政府和县委、县政府关于文化和旅游、文物突发事件的决策部署；</w:t>
            </w:r>
          </w:p>
          <w:p>
            <w:pPr>
              <w:spacing w:beforeLines="0" w:afterLines="0"/>
              <w:jc w:val="left"/>
              <w:rPr>
                <w:rFonts w:hint="eastAsia" w:ascii="宋体" w:hAnsi="宋体"/>
                <w:color w:val="000000"/>
                <w:sz w:val="22"/>
                <w:szCs w:val="24"/>
              </w:rPr>
            </w:pPr>
            <w:r>
              <w:rPr>
                <w:rFonts w:hint="eastAsia" w:ascii="宋体" w:hAnsi="宋体"/>
                <w:color w:val="000000"/>
                <w:sz w:val="22"/>
                <w:szCs w:val="24"/>
              </w:rPr>
              <w:t>(2)制定文化和旅游、文物安全应急预案，统筹组织协调全县文化和旅游、文物类安全突发事件防范、预警和处置工作，指导突发事件风险防控、监测预警、调查评估和善后工作；</w:t>
            </w:r>
          </w:p>
          <w:p>
            <w:pPr>
              <w:spacing w:beforeLines="0" w:afterLines="0"/>
              <w:jc w:val="left"/>
              <w:rPr>
                <w:rFonts w:hint="eastAsia" w:ascii="宋体" w:hAnsi="宋体"/>
                <w:color w:val="000000"/>
                <w:sz w:val="22"/>
                <w:szCs w:val="24"/>
              </w:rPr>
            </w:pPr>
            <w:r>
              <w:rPr>
                <w:rFonts w:hint="eastAsia" w:ascii="宋体" w:hAnsi="宋体"/>
                <w:color w:val="000000"/>
                <w:sz w:val="22"/>
                <w:szCs w:val="24"/>
              </w:rPr>
              <w:t>(3)启动、实施、终止应急响应，发布应急指令；</w:t>
            </w:r>
          </w:p>
          <w:p>
            <w:pPr>
              <w:spacing w:beforeLines="0" w:afterLines="0"/>
              <w:jc w:val="left"/>
              <w:rPr>
                <w:rFonts w:hint="eastAsia" w:ascii="宋体" w:hAnsi="宋体"/>
                <w:color w:val="000000"/>
                <w:sz w:val="22"/>
                <w:szCs w:val="24"/>
              </w:rPr>
            </w:pPr>
            <w:r>
              <w:rPr>
                <w:rFonts w:hint="eastAsia" w:ascii="宋体" w:hAnsi="宋体"/>
                <w:color w:val="000000"/>
                <w:sz w:val="22"/>
                <w:szCs w:val="24"/>
              </w:rPr>
              <w:t>(4)向县人民政府和市级相关部门报告文化旅游、文物类安全突发事件应急处置工作情况；</w:t>
            </w:r>
          </w:p>
          <w:p>
            <w:pPr>
              <w:spacing w:beforeLines="0" w:afterLines="0"/>
              <w:jc w:val="left"/>
              <w:rPr>
                <w:rFonts w:hint="eastAsia" w:ascii="宋体" w:hAnsi="宋体"/>
                <w:color w:val="000000"/>
                <w:sz w:val="22"/>
                <w:szCs w:val="24"/>
              </w:rPr>
            </w:pPr>
            <w:r>
              <w:rPr>
                <w:rFonts w:hint="eastAsia" w:ascii="宋体" w:hAnsi="宋体"/>
                <w:color w:val="000000"/>
                <w:sz w:val="22"/>
                <w:szCs w:val="24"/>
              </w:rPr>
              <w:t>(5)按照上级要求发布文化和旅游、文物类安全突发事件处置信息；</w:t>
            </w:r>
          </w:p>
          <w:p>
            <w:pPr>
              <w:spacing w:beforeLines="0" w:afterLines="0"/>
              <w:jc w:val="left"/>
              <w:rPr>
                <w:rFonts w:hint="eastAsia" w:ascii="宋体" w:hAnsi="宋体"/>
                <w:color w:val="000000"/>
                <w:sz w:val="22"/>
                <w:szCs w:val="24"/>
              </w:rPr>
            </w:pPr>
            <w:r>
              <w:rPr>
                <w:rFonts w:hint="eastAsia" w:ascii="宋体" w:hAnsi="宋体"/>
                <w:color w:val="000000"/>
                <w:sz w:val="22"/>
                <w:szCs w:val="24"/>
              </w:rPr>
              <w:t>(6)批准和实施应急处置措施和方案；</w:t>
            </w:r>
          </w:p>
          <w:p>
            <w:pPr>
              <w:spacing w:beforeLines="0" w:afterLines="0"/>
              <w:jc w:val="left"/>
              <w:rPr>
                <w:rFonts w:hint="eastAsia" w:ascii="宋体" w:hAnsi="宋体"/>
                <w:color w:val="000000"/>
                <w:sz w:val="22"/>
                <w:szCs w:val="24"/>
              </w:rPr>
            </w:pPr>
            <w:r>
              <w:rPr>
                <w:rFonts w:hint="eastAsia" w:ascii="宋体" w:hAnsi="宋体"/>
                <w:color w:val="000000"/>
                <w:sz w:val="22"/>
                <w:szCs w:val="24"/>
              </w:rPr>
              <w:t>(7)落实国家部委、省委、省政府</w:t>
            </w:r>
            <w:r>
              <w:rPr>
                <w:rFonts w:hint="eastAsia" w:ascii="宋体" w:hAnsi="宋体"/>
                <w:color w:val="000000"/>
                <w:sz w:val="22"/>
                <w:szCs w:val="24"/>
                <w:lang w:eastAsia="zh-CN"/>
              </w:rPr>
              <w:t>，</w:t>
            </w:r>
            <w:r>
              <w:rPr>
                <w:rFonts w:hint="eastAsia" w:ascii="宋体" w:hAnsi="宋体"/>
                <w:color w:val="000000"/>
                <w:sz w:val="22"/>
                <w:szCs w:val="24"/>
              </w:rPr>
              <w:t>市委、市政府和县委、县政府交办的关于文化和旅游、文物类安全突发事件应急处置的批示和指示。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6" w:hRule="atLeast"/>
        </w:trPr>
        <w:tc>
          <w:tcPr>
            <w:tcW w:w="1944" w:type="dxa"/>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县指挥部办公室</w:t>
            </w:r>
          </w:p>
        </w:tc>
        <w:tc>
          <w:tcPr>
            <w:tcW w:w="12696" w:type="dxa"/>
            <w:tcBorders>
              <w:top w:val="single" w:color="auto" w:sz="6" w:space="0"/>
              <w:left w:val="single" w:color="auto" w:sz="6" w:space="0"/>
              <w:bottom w:val="nil"/>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(1)承担县指挥部日常工作；</w:t>
            </w:r>
          </w:p>
          <w:p>
            <w:pPr>
              <w:spacing w:beforeLines="0" w:afterLines="0"/>
              <w:jc w:val="left"/>
              <w:rPr>
                <w:rFonts w:hint="eastAsia" w:ascii="宋体" w:hAnsi="宋体"/>
                <w:color w:val="000000"/>
                <w:sz w:val="22"/>
                <w:szCs w:val="24"/>
              </w:rPr>
            </w:pPr>
            <w:r>
              <w:rPr>
                <w:rFonts w:hint="eastAsia" w:ascii="宋体" w:hAnsi="宋体"/>
                <w:color w:val="000000"/>
                <w:sz w:val="22"/>
                <w:szCs w:val="24"/>
              </w:rPr>
              <w:t>(2)贯彻落实县指挥部的各项工作部署和指令；</w:t>
            </w:r>
          </w:p>
          <w:p>
            <w:pPr>
              <w:spacing w:beforeLines="0" w:afterLines="0"/>
              <w:jc w:val="left"/>
              <w:rPr>
                <w:rFonts w:hint="eastAsia" w:ascii="宋体" w:hAnsi="宋体"/>
                <w:color w:val="000000"/>
                <w:sz w:val="22"/>
                <w:szCs w:val="24"/>
              </w:rPr>
            </w:pPr>
            <w:r>
              <w:rPr>
                <w:rFonts w:hint="eastAsia" w:ascii="宋体" w:hAnsi="宋体"/>
                <w:color w:val="000000"/>
                <w:sz w:val="22"/>
                <w:szCs w:val="24"/>
              </w:rPr>
              <w:t>(3)收集汇总分析上报突发事件应急处置工作，根据县指挥部指令通报应急处置工作情况；</w:t>
            </w:r>
          </w:p>
          <w:p>
            <w:pPr>
              <w:spacing w:beforeLines="0" w:afterLines="0"/>
              <w:jc w:val="left"/>
              <w:rPr>
                <w:rFonts w:hint="eastAsia" w:ascii="宋体" w:hAnsi="宋体"/>
                <w:color w:val="000000"/>
                <w:sz w:val="22"/>
                <w:szCs w:val="24"/>
              </w:rPr>
            </w:pPr>
            <w:r>
              <w:rPr>
                <w:rFonts w:hint="eastAsia" w:ascii="宋体" w:hAnsi="宋体"/>
                <w:color w:val="000000"/>
                <w:sz w:val="22"/>
                <w:szCs w:val="24"/>
              </w:rPr>
              <w:t>(4)按县指挥部要求，组织协调突发事件应急处置工作；</w:t>
            </w:r>
          </w:p>
          <w:p>
            <w:pPr>
              <w:spacing w:beforeLines="0" w:afterLines="0"/>
              <w:jc w:val="left"/>
              <w:rPr>
                <w:rFonts w:hint="eastAsia" w:ascii="宋体" w:hAnsi="宋体"/>
                <w:color w:val="000000"/>
                <w:sz w:val="22"/>
                <w:szCs w:val="24"/>
              </w:rPr>
            </w:pPr>
            <w:r>
              <w:rPr>
                <w:rFonts w:hint="eastAsia" w:ascii="宋体" w:hAnsi="宋体"/>
                <w:color w:val="000000"/>
                <w:sz w:val="22"/>
                <w:szCs w:val="24"/>
              </w:rPr>
              <w:t>(5)完成县指挥部交办的其他任务。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县委宣传部</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根据县应急指挥部的统一部署，组织协调新闻媒体开展较大文化和旅游事故应急新闻报道，积极引导舆论。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县委统战部</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负责文化和旅游突发事件应急处置中涉及宗教、民族、侨务事务等问题的政策指导和协调工作。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县委网信办</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负责统筹协调指导文化和旅游突发事件网络舆情的引导处置工作。</w:t>
            </w:r>
          </w:p>
        </w:tc>
      </w:tr>
    </w:tbl>
    <w:p>
      <w:pPr>
        <w:spacing w:beforeLines="0" w:afterLines="0"/>
        <w:jc w:val="center"/>
        <w:rPr>
          <w:rFonts w:hint="eastAsia" w:ascii="宋体" w:hAnsi="宋体"/>
          <w:color w:val="000000"/>
          <w:sz w:val="22"/>
          <w:szCs w:val="24"/>
        </w:rPr>
        <w:sectPr>
          <w:footerReference r:id="rId3" w:type="default"/>
          <w:pgSz w:w="16838" w:h="11906" w:orient="landscape"/>
          <w:pgMar w:top="1587" w:right="2098" w:bottom="1474" w:left="1871" w:header="851" w:footer="992" w:gutter="0"/>
          <w:pgNumType w:fmt="numberInDash" w:start="16"/>
          <w:cols w:space="0" w:num="1"/>
          <w:docGrid w:type="lines" w:linePitch="312" w:charSpace="0"/>
        </w:sectPr>
      </w:pPr>
    </w:p>
    <w:tbl>
      <w:tblPr>
        <w:tblStyle w:val="3"/>
        <w:tblW w:w="14640" w:type="dxa"/>
        <w:tblInd w:w="-8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4"/>
        <w:gridCol w:w="12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县政府外事办</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负责应急处置过程中的外事政策指导及涉外协调联络工作；协助做好外国媒体相关工作</w:t>
            </w:r>
            <w:r>
              <w:rPr>
                <w:rFonts w:hint="eastAsia" w:ascii="宋体" w:hAnsi="宋体"/>
                <w:color w:val="000000"/>
                <w:sz w:val="22"/>
                <w:szCs w:val="24"/>
                <w:lang w:eastAsia="zh-CN"/>
              </w:rPr>
              <w:t>；</w:t>
            </w:r>
            <w:r>
              <w:rPr>
                <w:rFonts w:hint="eastAsia" w:ascii="宋体" w:hAnsi="宋体"/>
                <w:color w:val="000000"/>
                <w:sz w:val="22"/>
                <w:szCs w:val="24"/>
              </w:rPr>
              <w:t>负责协调文化和旅游突发事件应急处置过程涉台机构和人员的联络工作；协助做好台媒采访报道的管理与服务工作；提供涉台政策指导。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县发改局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负责落实县级重要物资和应急储备物资动用计划和指令。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县工信局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负责紧急状态下重要物资生产组织工作；负责组织协调电信运营安委做好文化和旅游突发事件应急通信保障工作；协助行业主管部门，督促县属企业做好涉及文化和旅游方面的重大事故应急处置工作。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县卫生健康体育局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组织、指导、协调事发地卫生健康部门开展文化和旅游突发事件伤病员救治和相关区域卫生学处理等紧急医学救援工作，为救援人员提供必要的医疗卫生保障；负责指导、协调涉旅高风险体育项目、大型群众性文化体育活动、体育旅游活动、体育赛事、体育竞技活动等组织管理、突发事件应急处置与突发事件调查工作</w:t>
            </w:r>
            <w:r>
              <w:rPr>
                <w:rFonts w:hint="eastAsia" w:ascii="宋体" w:hAnsi="宋体"/>
                <w:color w:val="000000"/>
                <w:sz w:val="22"/>
                <w:szCs w:val="24"/>
                <w:lang w:eastAsia="zh-CN"/>
              </w:rPr>
              <w:t>；</w:t>
            </w:r>
            <w:r>
              <w:rPr>
                <w:rFonts w:hint="eastAsia" w:ascii="宋体" w:hAnsi="宋体"/>
                <w:color w:val="000000"/>
                <w:sz w:val="22"/>
                <w:szCs w:val="24"/>
              </w:rPr>
              <w:t>负责指导、协调涉旅高风险体育项目、大型群众性文化体育活动、体育旅游活动、体育赛事、体育竞技活动等组织管理、突发事件应急处置与突发事件调查工作。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22"/>
                <w:szCs w:val="24"/>
                <w:lang w:eastAsia="zh-CN"/>
              </w:rPr>
            </w:pPr>
            <w:r>
              <w:rPr>
                <w:rFonts w:hint="eastAsia" w:ascii="宋体" w:hAnsi="宋体"/>
                <w:color w:val="000000"/>
                <w:sz w:val="22"/>
                <w:szCs w:val="24"/>
              </w:rPr>
              <w:t>县</w:t>
            </w:r>
            <w:r>
              <w:rPr>
                <w:rFonts w:hint="eastAsia" w:ascii="宋体" w:hAnsi="宋体"/>
                <w:color w:val="000000"/>
                <w:sz w:val="22"/>
                <w:szCs w:val="24"/>
                <w:lang w:eastAsia="zh-CN"/>
              </w:rPr>
              <w:t>乡村振兴局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负责为文化和旅游突发公共事件导致贫困地区返贫</w:t>
            </w:r>
            <w:r>
              <w:rPr>
                <w:rFonts w:hint="eastAsia" w:ascii="宋体" w:hAnsi="宋体"/>
                <w:color w:val="000000"/>
                <w:sz w:val="22"/>
                <w:szCs w:val="24"/>
                <w:lang w:eastAsia="zh-CN"/>
              </w:rPr>
              <w:t>、</w:t>
            </w:r>
            <w:r>
              <w:rPr>
                <w:rFonts w:hint="eastAsia" w:ascii="宋体" w:hAnsi="宋体"/>
                <w:color w:val="000000"/>
                <w:sz w:val="22"/>
                <w:szCs w:val="24"/>
              </w:rPr>
              <w:t>致贫的群众提供针对性帮扶。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县公安局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指导属地公安机关做好文化和旅游突发事件现场及周边治安和交通秩序维护，必要时采取交通管制；配合当地乡（镇）党委政府开展群众紧急转移避险工作；处理危及文化和旅游安全的暴力恐怖袭击、劫持人质等突发公共事件防范和打击违法犯罪活动，及时查处网络造谣违法人员；对遇难尸体检验、数据勘验和身份识别，参与相关突发事件原因分析调查与处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县财政局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负责文化和旅游突发事件应急管理体系建设专项资金和应急救援所需经费的安排、拨付和监督检查。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县应急局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协助、协调调动有关队伍、装备、资源参与文化和旅游突发事件的应急救援工作；提供涉及文化和旅游系统的地震资料信息，并提出应对地震灾害防范对策；参与文化和旅游系统遭遇地震灾害的紧急救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县交通局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负责组织协调客货运输车辆，做好应急救援人员、物资的运输工作，为应急救援车辆提供绿色通道；协助对交通运输不便的突发事件现场铺设临时道路。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县教育科技局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负责提供文化和旅游突发事件应急处置相关技术及成果应用的咨询建议；为事后恢复重建提供科技支撑。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县司法局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负责指导有关乡镇司法行政部门做好文化和旅游突发事件纠纷调处及法律援助工作。</w:t>
            </w:r>
          </w:p>
        </w:tc>
      </w:tr>
    </w:tbl>
    <w:p>
      <w:pPr>
        <w:spacing w:beforeLines="0" w:afterLines="0"/>
        <w:jc w:val="center"/>
        <w:rPr>
          <w:rFonts w:hint="eastAsia" w:ascii="宋体" w:hAnsi="宋体"/>
          <w:color w:val="000000"/>
          <w:sz w:val="22"/>
          <w:szCs w:val="24"/>
        </w:rPr>
        <w:sectPr>
          <w:footerReference r:id="rId4" w:type="default"/>
          <w:pgSz w:w="16838" w:h="11906" w:orient="landscape"/>
          <w:pgMar w:top="1587" w:right="2098" w:bottom="1474" w:left="1871" w:header="851" w:footer="992" w:gutter="0"/>
          <w:pgNumType w:fmt="numberInDash" w:start="17"/>
          <w:cols w:space="0" w:num="1"/>
          <w:docGrid w:type="lines" w:linePitch="312" w:charSpace="0"/>
        </w:sectPr>
      </w:pPr>
    </w:p>
    <w:tbl>
      <w:tblPr>
        <w:tblStyle w:val="3"/>
        <w:tblW w:w="14640" w:type="dxa"/>
        <w:tblInd w:w="-8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4"/>
        <w:gridCol w:w="12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县民政局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负责督促指导乡镇民政部门做好文化旅游突发事件受伤人员救助工作，将符合社会救助条件的人员纳入救助范围；协助做好遇难人员遗体火化和善后处置工作。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县文旅局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组织、协调文化和旅游突发事件应急置工作；协助做好文化和旅游突发事件应急预案制定、发布和管理工作；组织、参与突发事件调查、分析和统计；督促有关单位制定并落实防范和整改措施；负责指导文化旅游系统涉及文物与文化遗产单位的突发事件应急处置工作；督促、指导灾后恢复重建工作；负责协助指导全县广播电视媒体做好文化和旅游突发事件风险预警信息发布，及时准确报道文化和旅游突发事件及其应急救援有关信息，广泛普及有关安全和应急救援知识；承担县指挥部办公室日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县自然资源局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指导协调乡镇林业部门做好景区内森林和草原火灾及野生动物疫源疫病等监测、预警和处置工作，及时向县指挥部办公室提供预警信息；协助做好景区内森林和草原护林防火工作；督促指导灾后景区内森林和草原生态修复工作；指导文化和旅游系统做好地质灾害防治工作，会同气象部门联合发布地质灾害气象风险预警，协助制定灾后恢复重建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县生态环境局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负责文化和旅游突发事件引发的环境污染的应急监测，指导事发地乡镇人民政府采取有效措施进行妥善处置。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县住建局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文化和旅游系统在建房屋建筑和基础施工程的安全隐患排查治理工作；指导文化和旅游突发事件的房屋建筑和市政基础设施工程抢险；指导因灾毁损房屋建筑和基础设施的安全鉴定以及重建等工作；参与相关事件原因分析、调查与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县水利局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eastAsia="宋体"/>
                <w:color w:val="000000"/>
                <w:sz w:val="22"/>
                <w:szCs w:val="24"/>
                <w:lang w:eastAsia="zh-CN"/>
              </w:rPr>
            </w:pPr>
            <w:r>
              <w:rPr>
                <w:rFonts w:hint="eastAsia" w:ascii="宋体" w:hAnsi="宋体"/>
                <w:color w:val="000000"/>
                <w:sz w:val="22"/>
                <w:szCs w:val="24"/>
              </w:rPr>
              <w:t>会同有关单位做好属于水库旅游项目的水上应急救援工作；承担防洪应急抢险的技术支撑工作；做好事发地区生活、生产经营和生态环境用水的协调指导</w:t>
            </w:r>
            <w:r>
              <w:rPr>
                <w:rFonts w:hint="eastAsia" w:ascii="宋体" w:hAnsi="宋体"/>
                <w:color w:val="000000"/>
                <w:sz w:val="22"/>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县农业农村局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eastAsia="宋体"/>
                <w:color w:val="000000"/>
                <w:sz w:val="22"/>
                <w:szCs w:val="24"/>
                <w:lang w:eastAsia="zh-CN"/>
              </w:rPr>
            </w:pPr>
            <w:r>
              <w:rPr>
                <w:rFonts w:hint="eastAsia" w:ascii="宋体" w:hAnsi="宋体"/>
                <w:color w:val="000000"/>
                <w:sz w:val="22"/>
                <w:szCs w:val="24"/>
              </w:rPr>
              <w:t>协调涉及农业、农村的文化和旅游突发事件的应急处置；参与相关突发事件的原因分析、调查工作</w:t>
            </w:r>
            <w:r>
              <w:rPr>
                <w:rFonts w:hint="eastAsia" w:ascii="宋体" w:hAnsi="宋体"/>
                <w:color w:val="000000"/>
                <w:sz w:val="22"/>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县市场监管局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eastAsia="宋体"/>
                <w:color w:val="000000"/>
                <w:sz w:val="22"/>
                <w:szCs w:val="24"/>
                <w:lang w:eastAsia="zh-CN"/>
              </w:rPr>
            </w:pPr>
            <w:r>
              <w:rPr>
                <w:rFonts w:hint="eastAsia" w:ascii="宋体" w:hAnsi="宋体"/>
                <w:color w:val="000000"/>
                <w:sz w:val="22"/>
                <w:szCs w:val="24"/>
              </w:rPr>
              <w:t>负责维护文化和旅游突发事件,事发地的市场经营序，严格查处各类价格违法行为；牵头组织文化和旅游系统特种设备突发事件、食品药品安全突发事件等调查工作；处理突发事件当地的价费投诉工作</w:t>
            </w:r>
            <w:r>
              <w:rPr>
                <w:rFonts w:hint="eastAsia" w:ascii="宋体" w:hAnsi="宋体"/>
                <w:color w:val="000000"/>
                <w:sz w:val="22"/>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县统计局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负责指导、协助做好文化和旅游突发事件统计分析工作。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县气象局</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负责提供灾害性天气预报预警，根据需要开展实发地现场应急气象观测、气象灾害调查等服务保障。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融媒体中心</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负责协调突发事件新闻应对及处理负面曝光稿件工作。</w:t>
            </w:r>
          </w:p>
        </w:tc>
      </w:tr>
    </w:tbl>
    <w:p>
      <w:pPr>
        <w:spacing w:beforeLines="0" w:afterLines="0"/>
        <w:jc w:val="center"/>
        <w:rPr>
          <w:rFonts w:hint="eastAsia" w:ascii="宋体" w:hAnsi="宋体"/>
          <w:color w:val="000000"/>
          <w:sz w:val="22"/>
          <w:szCs w:val="24"/>
        </w:rPr>
        <w:sectPr>
          <w:footerReference r:id="rId5" w:type="default"/>
          <w:pgSz w:w="16838" w:h="11906" w:orient="landscape"/>
          <w:pgMar w:top="1587" w:right="2098" w:bottom="1474" w:left="1871" w:header="851" w:footer="992" w:gutter="0"/>
          <w:pgNumType w:fmt="numberInDash" w:start="18"/>
          <w:cols w:space="0" w:num="1"/>
          <w:docGrid w:type="lines" w:linePitch="312" w:charSpace="0"/>
        </w:sectPr>
      </w:pPr>
    </w:p>
    <w:tbl>
      <w:tblPr>
        <w:tblStyle w:val="3"/>
        <w:tblW w:w="14640" w:type="dxa"/>
        <w:tblInd w:w="-8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4"/>
        <w:gridCol w:w="12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县移动公司</w:t>
            </w:r>
          </w:p>
          <w:p>
            <w:pPr>
              <w:spacing w:beforeLines="0" w:afterLines="0"/>
              <w:jc w:val="center"/>
              <w:rPr>
                <w:rFonts w:hint="eastAsia" w:ascii="宋体" w:hAnsi="宋体"/>
                <w:color w:val="000000"/>
                <w:sz w:val="22"/>
                <w:szCs w:val="24"/>
              </w:rPr>
            </w:pPr>
            <w:r>
              <w:rPr>
                <w:rFonts w:hint="eastAsia" w:ascii="宋体" w:hAnsi="宋体"/>
                <w:color w:val="000000"/>
                <w:sz w:val="22"/>
                <w:szCs w:val="24"/>
                <w:lang w:eastAsia="zh-CN"/>
              </w:rPr>
              <w:t>县</w:t>
            </w:r>
            <w:r>
              <w:rPr>
                <w:rFonts w:hint="eastAsia" w:ascii="宋体" w:hAnsi="宋体"/>
                <w:color w:val="000000"/>
                <w:sz w:val="22"/>
                <w:szCs w:val="24"/>
              </w:rPr>
              <w:t>联通公司</w:t>
            </w:r>
          </w:p>
          <w:p>
            <w:pPr>
              <w:spacing w:beforeLines="0" w:afterLines="0"/>
              <w:jc w:val="center"/>
              <w:rPr>
                <w:rFonts w:hint="eastAsia" w:ascii="宋体" w:hAnsi="宋体"/>
                <w:color w:val="000000"/>
                <w:sz w:val="22"/>
                <w:szCs w:val="24"/>
              </w:rPr>
            </w:pPr>
            <w:r>
              <w:rPr>
                <w:rFonts w:hint="eastAsia" w:ascii="宋体" w:hAnsi="宋体"/>
                <w:color w:val="000000"/>
                <w:sz w:val="22"/>
                <w:szCs w:val="24"/>
                <w:lang w:eastAsia="zh-CN"/>
              </w:rPr>
              <w:t>县</w:t>
            </w:r>
            <w:r>
              <w:rPr>
                <w:rFonts w:hint="eastAsia" w:ascii="宋体" w:hAnsi="宋体"/>
                <w:color w:val="000000"/>
                <w:sz w:val="22"/>
                <w:szCs w:val="24"/>
              </w:rPr>
              <w:t>电信公司</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负责组织协调基层电信运营单位做好文化和旅游突发事件应急通信保障工作；尽快恢复受破坏的公用电信网和互联网通信设施。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944"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忻州银保监分局代县监管组</w:t>
            </w:r>
          </w:p>
        </w:tc>
        <w:tc>
          <w:tcPr>
            <w:tcW w:w="12696"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负责组织、督促、协调相关保险机构开展文化和旅游突发事件现场查勘和理赔工作。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县火车站</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负责协调文化和旅游突发事件应急处置所需铁路运输；做好受困乘客的退票和改签服务。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944"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县武装部</w:t>
            </w:r>
          </w:p>
        </w:tc>
        <w:tc>
          <w:tcPr>
            <w:tcW w:w="12696"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负责组织协调军队专业力量参加文化和旅游突发事件抢险救援；协助公安机关维护社会治安秩序，保卫重要目标和场所。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94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县供电公司</w:t>
            </w:r>
          </w:p>
        </w:tc>
        <w:tc>
          <w:tcPr>
            <w:tcW w:w="1269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负责文化和旅游突发事件应急处置电力供应保障工作。</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lang w:val="en-US" w:eastAsia="zh-CN"/>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7" name="矩形 104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wps:txbx>
                    <wps:bodyPr vert="horz" wrap="none" lIns="0" tIns="0" rIns="0" bIns="0" anchor="t" anchorCtr="0" upright="1">
                      <a:spAutoFit/>
                    </wps:bodyPr>
                  </wps:wsp>
                </a:graphicData>
              </a:graphic>
            </wp:anchor>
          </w:drawing>
        </mc:Choice>
        <mc:Fallback>
          <w:pict>
            <v:rect id="矩形 1047" o:spid="_x0000_s1026" o:spt="1"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5dblS0AAAAAUBAAAPAAAAAAAAAAEAIAAAACIA&#10;AABkcnMvZG93bnJldi54bWxQSwECFAAUAAAACACHTuJAtM1mTdgBAAC1AwAADgAAAAAAAAABACAA&#10;AAAfAQAAZHJzL2Uyb0RvYy54bWxQSwUGAAAAAAYABgBZAQAAaQUAAAAA&#10;">
              <v:fill on="f" focussize="0,0"/>
              <v:stroke on="f"/>
              <v:imagedata o:title=""/>
              <o:lock v:ext="edit" aspectratio="f"/>
              <v:textbox inset="0mm,0mm,0mm,0mm" style="mso-fit-shape-to-text:t;">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lang w:val="en-US" w:eastAsia="zh-C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矩形 104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wps:txbx>
                    <wps:bodyPr vert="horz" wrap="none" lIns="0" tIns="0" rIns="0" bIns="0" anchor="t" anchorCtr="0" upright="1">
                      <a:spAutoFit/>
                    </wps:bodyPr>
                  </wps:wsp>
                </a:graphicData>
              </a:graphic>
            </wp:anchor>
          </w:drawing>
        </mc:Choice>
        <mc:Fallback>
          <w:pict>
            <v:rect id="矩形 1047" o:spid="_x0000_s1026" o:spt="1"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5dblS0AAAAAUBAAAPAAAAAAAAAAEAIAAAACIA&#10;AABkcnMvZG93bnJldi54bWxQSwECFAAUAAAACACHTuJAt1TTFtgBAAC1AwAADgAAAAAAAAABACAA&#10;AAAfAQAAZHJzL2Uyb0RvYy54bWxQSwUGAAAAAAYABgBZAQAAaQUAAAAA&#10;">
              <v:fill on="f" focussize="0,0"/>
              <v:stroke on="f"/>
              <v:imagedata o:title=""/>
              <o:lock v:ext="edit" aspectratio="f"/>
              <v:textbox inset="0mm,0mm,0mm,0mm" style="mso-fit-shape-to-text:t;">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lang w:val="en-US" w:eastAsia="zh-CN"/>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9" name="矩形 104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wps:txbx>
                    <wps:bodyPr vert="horz" wrap="none" lIns="0" tIns="0" rIns="0" bIns="0" anchor="t" anchorCtr="0" upright="1">
                      <a:spAutoFit/>
                    </wps:bodyPr>
                  </wps:wsp>
                </a:graphicData>
              </a:graphic>
            </wp:anchor>
          </w:drawing>
        </mc:Choice>
        <mc:Fallback>
          <w:pict>
            <v:rect id="矩形 1047" o:spid="_x0000_s1026" o:spt="1"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5dblS0AAAAAUBAAAPAAAAAAAAAAEAIAAAACIA&#10;AABkcnMvZG93bnJldi54bWxQSwECFAAUAAAACACHTuJAyOacw9gBAAC1AwAADgAAAAAAAAABACAA&#10;AAAfAQAAZHJzL2Uyb0RvYy54bWxQSwUGAAAAAAYABgBZAQAAaQUAAAAA&#10;">
              <v:fill on="f" focussize="0,0"/>
              <v:stroke on="f"/>
              <v:imagedata o:title=""/>
              <o:lock v:ext="edit" aspectratio="f"/>
              <v:textbox inset="0mm,0mm,0mm,0mm" style="mso-fit-shape-to-text:t;">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hYzAwYjliZjJiMWVkMTg0MTQ3ODkzNzdhMGM5MTQifQ=="/>
  </w:docVars>
  <w:rsids>
    <w:rsidRoot w:val="1A274431"/>
    <w:rsid w:val="01E95A6F"/>
    <w:rsid w:val="1A274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Body Text First Indent 2"/>
    <w:basedOn w:val="6"/>
    <w:qFormat/>
    <w:uiPriority w:val="0"/>
    <w:pPr>
      <w:ind w:firstLine="420"/>
    </w:pPr>
  </w:style>
  <w:style w:type="paragraph" w:customStyle="1" w:styleId="6">
    <w:name w:val="Body Text Indent"/>
    <w:basedOn w:val="1"/>
    <w:qFormat/>
    <w:uiPriority w:val="0"/>
    <w:pPr>
      <w:ind w:firstLine="480" w:firstLineChars="200"/>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2023-10-16T09:08:00Z</dcterms:created>
  <dc:creator>Administrator</dc:creator>
  <cp:lastModifiedBy>Administrator</cp:lastModifiedBy>
  <dcterms:modified xsi:type="dcterms:W3CDTF">2023-10-16T09:09:45Z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F3ECABD8EFA44DD3A558FE760288F814_13</vt:lpwstr>
  </property>
</Properties>
</file>